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594D7A">
      <w:pPr>
        <w:pStyle w:val="Default"/>
        <w:rPr>
          <w:rFonts w:ascii="Arial" w:hAnsi="Arial" w:cs="Arial"/>
          <w:b/>
        </w:rPr>
      </w:pPr>
      <w:r w:rsidRPr="002974F8">
        <w:rPr>
          <w:rFonts w:ascii="Arial" w:hAnsi="Arial" w:cs="Arial"/>
          <w:b/>
        </w:rPr>
        <w:t>Handling</w:t>
      </w:r>
      <w:r w:rsidR="00594D7A">
        <w:rPr>
          <w:rFonts w:ascii="Arial" w:hAnsi="Arial" w:cs="Arial"/>
          <w:b/>
        </w:rPr>
        <w:t>:</w:t>
      </w:r>
      <w:r w:rsidR="00594D7A" w:rsidRPr="00594D7A">
        <w:t xml:space="preserve"> </w:t>
      </w:r>
      <w:r w:rsidR="00594D7A">
        <w:t xml:space="preserve"> </w:t>
      </w:r>
      <w:bookmarkStart w:id="0" w:name="_GoBack"/>
      <w:bookmarkEnd w:id="0"/>
      <w:r w:rsidR="00594D7A">
        <w:t xml:space="preserve"> </w:t>
      </w:r>
      <w:r w:rsidR="00594D7A">
        <w:rPr>
          <w:b/>
          <w:bCs/>
          <w:sz w:val="30"/>
          <w:szCs w:val="30"/>
        </w:rPr>
        <w:t xml:space="preserve">Prognos 2 2017 </w:t>
      </w:r>
      <w:proofErr w:type="spellStart"/>
      <w:r w:rsidR="00594D7A">
        <w:rPr>
          <w:b/>
          <w:bCs/>
          <w:sz w:val="30"/>
          <w:szCs w:val="30"/>
        </w:rPr>
        <w:t>Framtidenkoncernen</w:t>
      </w:r>
      <w:proofErr w:type="spellEnd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82F5671F-112B-4E97-8DB7-BFD091D1682E}"/>
    <w:embedBold r:id="rId2" w:subsetted="1" w:fontKey="{1DBD6013-791D-43B8-8629-514BB63FD3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366A879C-F74D-411D-B4CC-960851C1D5C7}"/>
    <w:embedBold r:id="rId4" w:fontKey="{CCF1C7F6-7051-4EEF-89F5-E46E5EEFC035}"/>
    <w:embedItalic r:id="rId5" w:fontKey="{BD305984-F0FF-4DF6-96D1-B2326FC626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18D8-B579-4867-94C9-BE7916AE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2017-05-24T07:42:00Z</dcterms:created>
  <dcterms:modified xsi:type="dcterms:W3CDTF">2017-05-24T07:42:00Z</dcterms:modified>
</cp:coreProperties>
</file>