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E83BE" w14:textId="77777777" w:rsidR="00377B77" w:rsidRDefault="00377B77" w:rsidP="00377B77">
      <w:pPr>
        <w:pStyle w:val="Brdtext"/>
        <w:rPr>
          <w:b/>
          <w:bCs/>
        </w:rPr>
      </w:pPr>
      <w:r>
        <w:rPr>
          <w:b/>
          <w:bCs/>
        </w:rPr>
        <w:t xml:space="preserve">Bilaga 1 </w:t>
      </w:r>
    </w:p>
    <w:p w14:paraId="26F5E6C0" w14:textId="77777777" w:rsidR="00377B77" w:rsidRDefault="00377B77" w:rsidP="00377B77">
      <w:pPr>
        <w:pStyle w:val="Brdtext"/>
        <w:rPr>
          <w:b/>
          <w:bCs/>
        </w:rPr>
      </w:pPr>
    </w:p>
    <w:p w14:paraId="6B6274F6" w14:textId="6EF0CD03" w:rsidR="00377B77" w:rsidRDefault="00377B77" w:rsidP="00377B77">
      <w:pPr>
        <w:pStyle w:val="Brdtext"/>
        <w:rPr>
          <w:b/>
          <w:bCs/>
        </w:rPr>
      </w:pPr>
      <w:r>
        <w:rPr>
          <w:b/>
          <w:bCs/>
        </w:rPr>
        <w:t>Resultatp</w:t>
      </w:r>
      <w:r w:rsidRPr="00D17528">
        <w:rPr>
          <w:b/>
          <w:bCs/>
        </w:rPr>
        <w:t>åverkan Renova Miljö AB</w:t>
      </w:r>
    </w:p>
    <w:p w14:paraId="3B2DEB2B" w14:textId="77777777" w:rsidR="00377B77" w:rsidRPr="00D17528" w:rsidRDefault="00377B77" w:rsidP="00377B77">
      <w:pPr>
        <w:pStyle w:val="Brdtext"/>
        <w:rPr>
          <w:b/>
          <w:bCs/>
        </w:rPr>
      </w:pPr>
      <w:r>
        <w:t>I resultat efter finans, från Renova Miljös långtids</w:t>
      </w:r>
      <w:r w:rsidRPr="00D17528">
        <w:t xml:space="preserve">prognos för perioden </w:t>
      </w:r>
      <w:proofErr w:type="gramStart"/>
      <w:r w:rsidRPr="00D17528">
        <w:t>2027-2036</w:t>
      </w:r>
      <w:proofErr w:type="gramEnd"/>
      <w:r>
        <w:t>,</w:t>
      </w:r>
      <w:r w:rsidRPr="00D17528">
        <w:t xml:space="preserve"> </w:t>
      </w:r>
      <w:r>
        <w:t xml:space="preserve">har ett antagande </w:t>
      </w:r>
      <w:proofErr w:type="gramStart"/>
      <w:r>
        <w:t>beräknas</w:t>
      </w:r>
      <w:proofErr w:type="gramEnd"/>
      <w:r w:rsidRPr="00D17528">
        <w:t xml:space="preserve"> </w:t>
      </w:r>
      <w:r>
        <w:t>där</w:t>
      </w:r>
      <w:r w:rsidRPr="00D17528">
        <w:t xml:space="preserve"> Renova Miljö AB lämnar koncernbidrag </w:t>
      </w:r>
      <w:r>
        <w:t>på</w:t>
      </w:r>
      <w:r w:rsidRPr="00D17528">
        <w:t xml:space="preserve"> 30 mnkr årligen.</w:t>
      </w:r>
      <w:r>
        <w:t xml:space="preserve"> </w:t>
      </w:r>
    </w:p>
    <w:p w14:paraId="6BA39661" w14:textId="77777777" w:rsidR="00377B77" w:rsidRDefault="00377B77" w:rsidP="00377B77">
      <w:pPr>
        <w:pStyle w:val="Brdtext"/>
      </w:pPr>
      <w:r w:rsidRPr="00D17528">
        <w:t xml:space="preserve">Koncernbidraget </w:t>
      </w:r>
      <w:r>
        <w:t xml:space="preserve">skulle i detta fall </w:t>
      </w:r>
      <w:r w:rsidRPr="00D17528">
        <w:t xml:space="preserve">minska bolagets redovisade resultat </w:t>
      </w:r>
      <w:r>
        <w:t xml:space="preserve">med motsvarande. </w:t>
      </w:r>
    </w:p>
    <w:p w14:paraId="7DCCE532" w14:textId="77777777" w:rsidR="00377B77" w:rsidRDefault="00377B77" w:rsidP="00377B77">
      <w:pPr>
        <w:pStyle w:val="Brdtext"/>
      </w:pPr>
      <w:r w:rsidRPr="00651DA9">
        <w:rPr>
          <w:noProof/>
        </w:rPr>
        <w:drawing>
          <wp:inline distT="0" distB="0" distL="0" distR="0" wp14:anchorId="676CBC79" wp14:editId="51875CB3">
            <wp:extent cx="6120765" cy="1080135"/>
            <wp:effectExtent l="0" t="0" r="0" b="0"/>
            <wp:docPr id="1141740346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1A6FA" w14:textId="77777777" w:rsidR="00377B77" w:rsidRDefault="00377B77" w:rsidP="00377B77">
      <w:pPr>
        <w:pStyle w:val="Brdtext"/>
      </w:pPr>
    </w:p>
    <w:p w14:paraId="60EF8961" w14:textId="77777777" w:rsidR="00377B77" w:rsidRDefault="00377B77" w:rsidP="00377B77">
      <w:pPr>
        <w:pStyle w:val="Brdtext"/>
      </w:pPr>
      <w:r>
        <w:t xml:space="preserve">Koncernbidrag är en faktisk ut- och inbetalning och påverkar likviditeten. Detta innebär att det lämnade koncernbidraget ökar skulden för Renova Miljö och därmed en ökad räntekostnad med ca 3,5 % på lämnat belopp. </w:t>
      </w:r>
    </w:p>
    <w:p w14:paraId="60762FCB" w14:textId="77777777" w:rsidR="00377B77" w:rsidRDefault="00377B77" w:rsidP="00377B77">
      <w:pPr>
        <w:pStyle w:val="Brdtext"/>
        <w:rPr>
          <w:b/>
          <w:bCs/>
        </w:rPr>
      </w:pPr>
    </w:p>
    <w:p w14:paraId="31146B9E" w14:textId="77777777" w:rsidR="00377B77" w:rsidRPr="00D17528" w:rsidRDefault="00377B77" w:rsidP="00377B77">
      <w:pPr>
        <w:pStyle w:val="Brdtext"/>
        <w:rPr>
          <w:b/>
          <w:bCs/>
        </w:rPr>
      </w:pPr>
      <w:r>
        <w:rPr>
          <w:b/>
          <w:bCs/>
        </w:rPr>
        <w:t>Resultatp</w:t>
      </w:r>
      <w:r w:rsidRPr="00D17528">
        <w:rPr>
          <w:b/>
          <w:bCs/>
        </w:rPr>
        <w:t>åverkan på Renova AB</w:t>
      </w:r>
    </w:p>
    <w:p w14:paraId="77716350" w14:textId="77777777" w:rsidR="00377B77" w:rsidRPr="00D17528" w:rsidRDefault="00377B77" w:rsidP="00377B77">
      <w:pPr>
        <w:pStyle w:val="Brdtext"/>
      </w:pPr>
      <w:r w:rsidRPr="00D17528">
        <w:t xml:space="preserve">Renova AB:s långtidsprognos visar </w:t>
      </w:r>
      <w:r>
        <w:t>ett nollresultat enligt självkostnadsprincipen. I det fall ett koncernbidrag finansierar delar av de solidariska tilldelningarna med</w:t>
      </w:r>
      <w:r w:rsidRPr="00D17528">
        <w:t xml:space="preserve"> motsvarande omfattning </w:t>
      </w:r>
      <w:r>
        <w:t>ger det</w:t>
      </w:r>
      <w:r w:rsidRPr="00D17528">
        <w:t xml:space="preserve"> ett resultat nära noll, vilket innebär att bolagets egna kapital och obeskattade reserver kan bibehållas.</w:t>
      </w:r>
    </w:p>
    <w:p w14:paraId="53FBE8E0" w14:textId="77777777" w:rsidR="00377B77" w:rsidRDefault="00377B77" w:rsidP="00377B77">
      <w:pPr>
        <w:pStyle w:val="Brdtext"/>
      </w:pPr>
      <w:r w:rsidRPr="00D17528">
        <w:t xml:space="preserve">Koncernbidraget bidrar därmed till att </w:t>
      </w:r>
      <w:r>
        <w:t>bibehålla</w:t>
      </w:r>
      <w:r w:rsidRPr="00D17528">
        <w:t xml:space="preserve"> den ekonomiska stabiliteten i den verksamhet som finansieras solidariskt av ägarkommunerna.</w:t>
      </w:r>
      <w:r>
        <w:t xml:space="preserve"> </w:t>
      </w:r>
    </w:p>
    <w:p w14:paraId="0221BA1D" w14:textId="77777777" w:rsidR="00377B77" w:rsidRDefault="00377B77" w:rsidP="00377B77">
      <w:pPr>
        <w:pStyle w:val="Brdtext"/>
        <w:rPr>
          <w:b/>
          <w:bCs/>
        </w:rPr>
      </w:pPr>
    </w:p>
    <w:p w14:paraId="62ED8AC1" w14:textId="77777777" w:rsidR="00377B77" w:rsidRDefault="00377B77" w:rsidP="00377B77">
      <w:pPr>
        <w:pStyle w:val="Brdtext"/>
        <w:rPr>
          <w:b/>
          <w:bCs/>
        </w:rPr>
      </w:pPr>
      <w:r>
        <w:rPr>
          <w:b/>
          <w:bCs/>
        </w:rPr>
        <w:t>Påverkan</w:t>
      </w:r>
      <w:r w:rsidRPr="00FC7386">
        <w:rPr>
          <w:b/>
          <w:bCs/>
        </w:rPr>
        <w:t xml:space="preserve"> </w:t>
      </w:r>
      <w:r>
        <w:rPr>
          <w:b/>
          <w:bCs/>
        </w:rPr>
        <w:t>E</w:t>
      </w:r>
      <w:r w:rsidRPr="00FC7386">
        <w:rPr>
          <w:b/>
          <w:bCs/>
        </w:rPr>
        <w:t xml:space="preserve">get </w:t>
      </w:r>
      <w:r>
        <w:rPr>
          <w:b/>
          <w:bCs/>
        </w:rPr>
        <w:t>K</w:t>
      </w:r>
      <w:r w:rsidRPr="00FC7386">
        <w:rPr>
          <w:b/>
          <w:bCs/>
        </w:rPr>
        <w:t>apital</w:t>
      </w:r>
      <w:r>
        <w:rPr>
          <w:b/>
          <w:bCs/>
        </w:rPr>
        <w:t xml:space="preserve"> Renova Miljö</w:t>
      </w:r>
    </w:p>
    <w:p w14:paraId="4DF0EC00" w14:textId="77777777" w:rsidR="00377B77" w:rsidRDefault="00377B77" w:rsidP="00377B77">
      <w:pPr>
        <w:pStyle w:val="Brdtext"/>
      </w:pPr>
      <w:r>
        <w:t>Det lämnade koncernbidraget minskar årets resultat och därmed minskar det Eget Kapitalet (fritt eget kapital eller obeskattade reserver) i balansräkningen samt att skuld till bank ökar.</w:t>
      </w:r>
    </w:p>
    <w:p w14:paraId="2E9A9D55" w14:textId="77777777" w:rsidR="00377B77" w:rsidRDefault="00377B77" w:rsidP="00377B77">
      <w:pPr>
        <w:pStyle w:val="Brdtext"/>
      </w:pPr>
      <w:r>
        <w:t xml:space="preserve">Om möjlighet finns för skattemässiga avdrag, vilka normalt sätt läggs till obeskattade reserver, blir det en årlig negativ påverkan på obeskattade reserver med det lämnade koncernbidraget, vilket i </w:t>
      </w:r>
      <w:proofErr w:type="gramStart"/>
      <w:r>
        <w:t>nedan tabell</w:t>
      </w:r>
      <w:proofErr w:type="gramEnd"/>
      <w:r>
        <w:t xml:space="preserve"> är 300 mnkr ackumulerat från år 3 (2027) till år 12 (2036).</w:t>
      </w:r>
    </w:p>
    <w:p w14:paraId="7C929DD7" w14:textId="77777777" w:rsidR="00377B77" w:rsidRDefault="00377B77" w:rsidP="00377B77">
      <w:pPr>
        <w:pStyle w:val="Brdtext"/>
      </w:pPr>
    </w:p>
    <w:p w14:paraId="1FBE4AC0" w14:textId="77777777" w:rsidR="00377B77" w:rsidRDefault="00377B77" w:rsidP="00377B77">
      <w:pPr>
        <w:pStyle w:val="Brdtext"/>
      </w:pPr>
      <w:r>
        <w:rPr>
          <w:noProof/>
        </w:rPr>
        <w:lastRenderedPageBreak/>
        <w:drawing>
          <wp:inline distT="0" distB="0" distL="0" distR="0" wp14:anchorId="50FC2AB3" wp14:editId="74FEEF8A">
            <wp:extent cx="5600700" cy="2607945"/>
            <wp:effectExtent l="0" t="0" r="0" b="0"/>
            <wp:docPr id="1663925710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D4596B25-7325-38BB-F006-E63FF087C3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2467526" w14:textId="77777777" w:rsidR="00377B77" w:rsidRDefault="00377B77" w:rsidP="00377B77">
      <w:pPr>
        <w:pStyle w:val="Brdtext"/>
        <w:rPr>
          <w:b/>
          <w:bCs/>
        </w:rPr>
      </w:pPr>
    </w:p>
    <w:p w14:paraId="440924FF" w14:textId="77777777" w:rsidR="00377B77" w:rsidRDefault="00377B77" w:rsidP="00377B77">
      <w:pPr>
        <w:pStyle w:val="Brdtext"/>
        <w:rPr>
          <w:b/>
          <w:bCs/>
        </w:rPr>
      </w:pPr>
      <w:r>
        <w:rPr>
          <w:b/>
          <w:bCs/>
        </w:rPr>
        <w:t>Soliditetens utveck</w:t>
      </w:r>
      <w:r w:rsidRPr="00C06111">
        <w:t>ling</w:t>
      </w:r>
    </w:p>
    <w:p w14:paraId="2DDD1D95" w14:textId="77777777" w:rsidR="00377B77" w:rsidRPr="00C06111" w:rsidRDefault="00377B77" w:rsidP="00377B77">
      <w:pPr>
        <w:pStyle w:val="Brdtext"/>
      </w:pPr>
      <w:r w:rsidRPr="00C06111">
        <w:t xml:space="preserve">Soliditeten </w:t>
      </w:r>
      <w:r>
        <w:t>påverkas negativt och beräknas på sikt vara ca 5%-enheter lägre vid ett antagande om ett lämnas koncernbidrag på 30 mnkr årligen.</w:t>
      </w:r>
    </w:p>
    <w:p w14:paraId="16C4B9E5" w14:textId="77777777" w:rsidR="00377B77" w:rsidRDefault="00377B77" w:rsidP="00377B77">
      <w:pPr>
        <w:pStyle w:val="Brdtext"/>
        <w:rPr>
          <w:b/>
          <w:bCs/>
        </w:rPr>
      </w:pPr>
      <w:r>
        <w:rPr>
          <w:noProof/>
        </w:rPr>
        <w:drawing>
          <wp:inline distT="0" distB="0" distL="0" distR="0" wp14:anchorId="73386B27" wp14:editId="5673B845">
            <wp:extent cx="4572000" cy="2743200"/>
            <wp:effectExtent l="0" t="0" r="0" b="0"/>
            <wp:docPr id="210022988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6B41714A-48B0-24A5-E73D-72CB525193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41C34BA" w14:textId="77777777" w:rsidR="00377B77" w:rsidRDefault="00377B77" w:rsidP="00377B77">
      <w:pPr>
        <w:pStyle w:val="Brdtext"/>
      </w:pPr>
    </w:p>
    <w:p w14:paraId="191F6F55" w14:textId="77777777" w:rsidR="00377B77" w:rsidRDefault="00377B77" w:rsidP="00377B77">
      <w:pPr>
        <w:pStyle w:val="Brdtext"/>
      </w:pPr>
    </w:p>
    <w:p w14:paraId="65FEC65A" w14:textId="77777777" w:rsidR="00377B77" w:rsidRDefault="00377B77" w:rsidP="00377B77">
      <w:pPr>
        <w:pStyle w:val="Brdtext"/>
      </w:pPr>
      <w:r>
        <w:t>Soliditetens utveckling i befintlig långtidsplan utan lämnas koncernbidrag.</w:t>
      </w:r>
    </w:p>
    <w:p w14:paraId="7A0C468E" w14:textId="77777777" w:rsidR="00377B77" w:rsidRDefault="00377B77" w:rsidP="00377B77">
      <w:pPr>
        <w:pStyle w:val="Brdtext"/>
        <w:rPr>
          <w:b/>
          <w:bCs/>
        </w:rPr>
      </w:pPr>
      <w:r w:rsidRPr="00BD38F5">
        <w:rPr>
          <w:noProof/>
        </w:rPr>
        <w:drawing>
          <wp:inline distT="0" distB="0" distL="0" distR="0" wp14:anchorId="307107B5" wp14:editId="7B418005">
            <wp:extent cx="6120765" cy="325120"/>
            <wp:effectExtent l="0" t="0" r="0" b="0"/>
            <wp:docPr id="1542964817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BA9F3" w14:textId="77777777" w:rsidR="00377B77" w:rsidRDefault="00377B77" w:rsidP="00377B77">
      <w:pPr>
        <w:pStyle w:val="Brdtext"/>
      </w:pPr>
    </w:p>
    <w:p w14:paraId="28B3AC91" w14:textId="77777777" w:rsidR="00377B77" w:rsidRPr="007434A7" w:rsidRDefault="00377B77" w:rsidP="00377B77">
      <w:pPr>
        <w:pStyle w:val="Brdtext"/>
      </w:pPr>
      <w:r>
        <w:t>Soliditetens utveckling i långtidsplan inräknat lämnat koncernbidrag.</w:t>
      </w:r>
    </w:p>
    <w:p w14:paraId="0FEFEFA0" w14:textId="77777777" w:rsidR="00377B77" w:rsidRDefault="00377B77" w:rsidP="00377B77">
      <w:pPr>
        <w:pStyle w:val="Brdtext"/>
        <w:rPr>
          <w:b/>
          <w:bCs/>
        </w:rPr>
      </w:pPr>
      <w:r w:rsidRPr="00BD38F5">
        <w:rPr>
          <w:noProof/>
        </w:rPr>
        <w:drawing>
          <wp:inline distT="0" distB="0" distL="0" distR="0" wp14:anchorId="1AD934C8" wp14:editId="19CAA4F7">
            <wp:extent cx="6120765" cy="325120"/>
            <wp:effectExtent l="0" t="0" r="0" b="0"/>
            <wp:docPr id="178888693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88267" w14:textId="77777777" w:rsidR="00377B77" w:rsidRDefault="00377B77" w:rsidP="00377B77">
      <w:pPr>
        <w:pStyle w:val="Brdtext"/>
        <w:rPr>
          <w:b/>
          <w:bCs/>
        </w:rPr>
      </w:pPr>
    </w:p>
    <w:p w14:paraId="613F6283" w14:textId="77777777" w:rsidR="00377B77" w:rsidRDefault="00377B77" w:rsidP="00377B77">
      <w:pPr>
        <w:pStyle w:val="Brdtext"/>
        <w:rPr>
          <w:b/>
          <w:bCs/>
        </w:rPr>
      </w:pPr>
      <w:r>
        <w:rPr>
          <w:b/>
          <w:bCs/>
        </w:rPr>
        <w:t>Påverkan</w:t>
      </w:r>
      <w:r w:rsidRPr="00FC7386">
        <w:rPr>
          <w:b/>
          <w:bCs/>
        </w:rPr>
        <w:t xml:space="preserve"> </w:t>
      </w:r>
      <w:r>
        <w:rPr>
          <w:b/>
          <w:bCs/>
        </w:rPr>
        <w:t>E</w:t>
      </w:r>
      <w:r w:rsidRPr="00FC7386">
        <w:rPr>
          <w:b/>
          <w:bCs/>
        </w:rPr>
        <w:t>get kapital</w:t>
      </w:r>
      <w:r>
        <w:rPr>
          <w:b/>
          <w:bCs/>
        </w:rPr>
        <w:t xml:space="preserve"> Renova AB</w:t>
      </w:r>
    </w:p>
    <w:p w14:paraId="57B3252A" w14:textId="77777777" w:rsidR="00377B77" w:rsidRDefault="00377B77" w:rsidP="00377B77">
      <w:pPr>
        <w:pStyle w:val="Brdtext"/>
      </w:pPr>
      <w:r>
        <w:t>Det lämnade koncernbidraget ökar årets negativa resultat och i prognosen hålls resultatet till noll. Därmed påverkas inte det egna kapitalet. I det fall resultatet är positivt kommer årets resultat efter skatt att bokas till fritt eget kapital, för den del som överstiger möjligheten för bokning till obeskattade reserver.</w:t>
      </w:r>
    </w:p>
    <w:p w14:paraId="0EA5AA7B" w14:textId="77777777" w:rsidR="00377B77" w:rsidRDefault="00377B77" w:rsidP="00377B77">
      <w:pPr>
        <w:pStyle w:val="Brdtext"/>
      </w:pPr>
      <w:r>
        <w:rPr>
          <w:b/>
          <w:bCs/>
        </w:rPr>
        <w:t>Soliditetens utveck</w:t>
      </w:r>
      <w:r w:rsidRPr="00C06111">
        <w:t>ling</w:t>
      </w:r>
    </w:p>
    <w:p w14:paraId="0489EB95" w14:textId="77777777" w:rsidR="00377B77" w:rsidRDefault="00377B77" w:rsidP="00377B77">
      <w:pPr>
        <w:pStyle w:val="Brdtext"/>
        <w:rPr>
          <w:b/>
          <w:bCs/>
        </w:rPr>
      </w:pPr>
      <w:r>
        <w:t>Ett koncernbidrag påverkar ej soliditet</w:t>
      </w:r>
    </w:p>
    <w:p w14:paraId="3A1F5DC4" w14:textId="77777777" w:rsidR="00377B77" w:rsidRDefault="00377B77" w:rsidP="00377B77">
      <w:pPr>
        <w:pStyle w:val="Brdtext"/>
      </w:pPr>
      <w:r>
        <w:t>Soliditetens utveckling i befintlig långtidsplan med årligt koncernbidrag på 30 mnkr som täcks upp av ett koncernbidrag till ett resultat på noll.</w:t>
      </w:r>
    </w:p>
    <w:p w14:paraId="605CE93D" w14:textId="77777777" w:rsidR="00377B77" w:rsidRPr="00D17528" w:rsidRDefault="00377B77" w:rsidP="00377B77">
      <w:pPr>
        <w:pStyle w:val="Brdtext"/>
      </w:pPr>
      <w:r w:rsidRPr="000937E2">
        <w:rPr>
          <w:noProof/>
        </w:rPr>
        <w:drawing>
          <wp:inline distT="0" distB="0" distL="0" distR="0" wp14:anchorId="0E275613" wp14:editId="161DCF2D">
            <wp:extent cx="6120765" cy="325120"/>
            <wp:effectExtent l="0" t="0" r="0" b="0"/>
            <wp:docPr id="118000185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59CA" w14:textId="77777777" w:rsidR="007D67E1" w:rsidRDefault="007D67E1" w:rsidP="00B64591">
      <w:pPr>
        <w:pStyle w:val="Brdtext"/>
      </w:pPr>
    </w:p>
    <w:sectPr w:rsidR="007D67E1" w:rsidSect="00B64591">
      <w:pgSz w:w="11907" w:h="16840" w:code="9"/>
      <w:pgMar w:top="2098" w:right="1134" w:bottom="1134" w:left="1134" w:header="72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77"/>
    <w:rsid w:val="002A4D23"/>
    <w:rsid w:val="00377B77"/>
    <w:rsid w:val="004016F5"/>
    <w:rsid w:val="00695E24"/>
    <w:rsid w:val="007A0597"/>
    <w:rsid w:val="007D67E1"/>
    <w:rsid w:val="00AC713C"/>
    <w:rsid w:val="00B64591"/>
    <w:rsid w:val="00E06C5C"/>
    <w:rsid w:val="00E0717B"/>
    <w:rsid w:val="00F174A0"/>
    <w:rsid w:val="00F3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BD31A"/>
  <w15:chartTrackingRefBased/>
  <w15:docId w15:val="{5825655B-7DE2-4D79-90AE-9BA61888D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sv-SE" w:eastAsia="sv-S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D23"/>
    <w:rPr>
      <w:sz w:val="24"/>
    </w:rPr>
  </w:style>
  <w:style w:type="paragraph" w:styleId="Rubrik1">
    <w:name w:val="heading 1"/>
    <w:basedOn w:val="Normal"/>
    <w:next w:val="Brdtext"/>
    <w:qFormat/>
    <w:rsid w:val="002A4D23"/>
    <w:pPr>
      <w:keepNext/>
      <w:spacing w:before="280" w:after="140"/>
      <w:outlineLvl w:val="0"/>
    </w:pPr>
    <w:rPr>
      <w:rFonts w:ascii="Arial" w:hAnsi="Arial"/>
      <w:b/>
      <w:caps/>
      <w:kern w:val="28"/>
      <w:sz w:val="30"/>
    </w:rPr>
  </w:style>
  <w:style w:type="paragraph" w:styleId="Rubrik2">
    <w:name w:val="heading 2"/>
    <w:basedOn w:val="Normal"/>
    <w:next w:val="Brdtext"/>
    <w:qFormat/>
    <w:rsid w:val="002A4D23"/>
    <w:pPr>
      <w:keepNext/>
      <w:spacing w:before="240" w:after="120"/>
      <w:outlineLvl w:val="1"/>
    </w:pPr>
    <w:rPr>
      <w:rFonts w:ascii="Arial" w:hAnsi="Arial"/>
      <w:b/>
      <w:sz w:val="28"/>
    </w:rPr>
  </w:style>
  <w:style w:type="paragraph" w:styleId="Rubrik3">
    <w:name w:val="heading 3"/>
    <w:basedOn w:val="Normal"/>
    <w:next w:val="Brdtext"/>
    <w:qFormat/>
    <w:rsid w:val="002A4D23"/>
    <w:pPr>
      <w:keepNext/>
      <w:spacing w:before="240" w:after="120"/>
      <w:outlineLvl w:val="2"/>
    </w:pPr>
    <w:rPr>
      <w:rFonts w:ascii="Arial" w:hAnsi="Arial"/>
      <w:b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7B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7B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7B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7B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7B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7B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semiHidden/>
    <w:rsid w:val="002A4D23"/>
    <w:pPr>
      <w:spacing w:before="120" w:after="120"/>
    </w:pPr>
  </w:style>
  <w:style w:type="paragraph" w:styleId="Brdtextmedindrag">
    <w:name w:val="Body Text Indent"/>
    <w:basedOn w:val="Normal"/>
    <w:semiHidden/>
    <w:rsid w:val="002A4D23"/>
    <w:pPr>
      <w:spacing w:before="120" w:after="120"/>
      <w:ind w:left="567"/>
    </w:pPr>
  </w:style>
  <w:style w:type="paragraph" w:styleId="Sidfot">
    <w:name w:val="footer"/>
    <w:basedOn w:val="Normal"/>
    <w:semiHidden/>
    <w:rsid w:val="002A4D23"/>
    <w:rPr>
      <w:rFonts w:ascii="Arial" w:hAnsi="Arial"/>
      <w:sz w:val="20"/>
    </w:rPr>
  </w:style>
  <w:style w:type="paragraph" w:styleId="Sidhuvud">
    <w:name w:val="header"/>
    <w:basedOn w:val="Normal"/>
    <w:semiHidden/>
    <w:rsid w:val="002A4D23"/>
    <w:pPr>
      <w:tabs>
        <w:tab w:val="center" w:pos="4536"/>
        <w:tab w:val="right" w:pos="9072"/>
      </w:tabs>
    </w:pPr>
  </w:style>
  <w:style w:type="paragraph" w:customStyle="1" w:styleId="Tabelltext">
    <w:name w:val="Tabelltext"/>
    <w:basedOn w:val="Brdtext"/>
    <w:rsid w:val="002A4D23"/>
    <w:rPr>
      <w:rFonts w:ascii="Arial" w:hAnsi="Arial"/>
    </w:rPr>
  </w:style>
  <w:style w:type="paragraph" w:customStyle="1" w:styleId="Instreck">
    <w:name w:val="Instreck"/>
    <w:basedOn w:val="Normal"/>
    <w:rsid w:val="002A4D23"/>
    <w:pPr>
      <w:spacing w:before="120" w:after="120"/>
      <w:ind w:left="567" w:hanging="567"/>
    </w:pPr>
  </w:style>
  <w:style w:type="paragraph" w:customStyle="1" w:styleId="Instreckmedindrag">
    <w:name w:val="Instreck med indrag"/>
    <w:basedOn w:val="Instreck"/>
    <w:rsid w:val="002A4D23"/>
    <w:pPr>
      <w:ind w:left="1134"/>
    </w:pPr>
  </w:style>
  <w:style w:type="paragraph" w:customStyle="1" w:styleId="NormaltIndrag">
    <w:name w:val="Normalt Indrag"/>
    <w:basedOn w:val="Normal"/>
    <w:rsid w:val="002A4D23"/>
    <w:pPr>
      <w:ind w:left="567"/>
    </w:pPr>
  </w:style>
  <w:style w:type="paragraph" w:customStyle="1" w:styleId="Nummer">
    <w:name w:val="Nummer"/>
    <w:basedOn w:val="Normal"/>
    <w:rsid w:val="002A4D23"/>
    <w:pPr>
      <w:spacing w:before="120" w:after="120"/>
      <w:ind w:left="567" w:hanging="567"/>
    </w:pPr>
  </w:style>
  <w:style w:type="paragraph" w:customStyle="1" w:styleId="Hngande">
    <w:name w:val="Hängande"/>
    <w:basedOn w:val="Brdtext"/>
    <w:rsid w:val="002A4D23"/>
    <w:pPr>
      <w:ind w:left="1134" w:hanging="1134"/>
    </w:pPr>
  </w:style>
  <w:style w:type="paragraph" w:customStyle="1" w:styleId="Nummermedindrag">
    <w:name w:val="Nummer med indrag"/>
    <w:basedOn w:val="Nummer"/>
    <w:rsid w:val="002A4D23"/>
    <w:pPr>
      <w:ind w:left="1134"/>
    </w:pPr>
  </w:style>
  <w:style w:type="paragraph" w:customStyle="1" w:styleId="Punkt">
    <w:name w:val="Punkt"/>
    <w:basedOn w:val="Normal"/>
    <w:rsid w:val="002A4D23"/>
    <w:pPr>
      <w:spacing w:before="120" w:after="120"/>
      <w:ind w:left="284" w:hanging="284"/>
    </w:pPr>
  </w:style>
  <w:style w:type="paragraph" w:customStyle="1" w:styleId="Punkttt">
    <w:name w:val="Punkt tät"/>
    <w:basedOn w:val="Punkt"/>
    <w:rsid w:val="002A4D23"/>
    <w:pPr>
      <w:spacing w:before="0" w:after="0"/>
    </w:pPr>
  </w:style>
  <w:style w:type="paragraph" w:customStyle="1" w:styleId="Frtryck">
    <w:name w:val="Förtryck"/>
    <w:basedOn w:val="Brdtext"/>
    <w:rsid w:val="002A4D23"/>
    <w:pPr>
      <w:spacing w:before="0" w:after="80"/>
    </w:pPr>
    <w:rPr>
      <w:rFonts w:ascii="Arial" w:hAnsi="Arial"/>
      <w:sz w:val="16"/>
    </w:rPr>
  </w:style>
  <w:style w:type="paragraph" w:customStyle="1" w:styleId="Punktmedindrag">
    <w:name w:val="Punkt med indrag"/>
    <w:basedOn w:val="Punkt"/>
    <w:rsid w:val="002A4D23"/>
    <w:pPr>
      <w:ind w:left="851"/>
    </w:pPr>
  </w:style>
  <w:style w:type="paragraph" w:customStyle="1" w:styleId="Bokstav">
    <w:name w:val="Bokstav"/>
    <w:basedOn w:val="Nummer"/>
    <w:rsid w:val="002A4D23"/>
  </w:style>
  <w:style w:type="paragraph" w:customStyle="1" w:styleId="Nummertt">
    <w:name w:val="Nummer tät"/>
    <w:basedOn w:val="Nummer"/>
    <w:rsid w:val="002A4D23"/>
    <w:pPr>
      <w:spacing w:before="0" w:after="0"/>
    </w:pPr>
  </w:style>
  <w:style w:type="paragraph" w:customStyle="1" w:styleId="Bokstavmedindrag">
    <w:name w:val="Bokstav med indrag"/>
    <w:basedOn w:val="Bokstav"/>
    <w:rsid w:val="002A4D23"/>
    <w:pPr>
      <w:ind w:left="1134"/>
    </w:pPr>
  </w:style>
  <w:style w:type="paragraph" w:customStyle="1" w:styleId="Instrecktt">
    <w:name w:val="Instreck tät"/>
    <w:basedOn w:val="Instreck"/>
    <w:rsid w:val="002A4D23"/>
    <w:pPr>
      <w:spacing w:before="0" w:after="0"/>
    </w:pPr>
  </w:style>
  <w:style w:type="paragraph" w:customStyle="1" w:styleId="Bokstavtt">
    <w:name w:val="Bokstav tät"/>
    <w:basedOn w:val="Bokstav"/>
    <w:rsid w:val="002A4D23"/>
    <w:pPr>
      <w:spacing w:before="0" w:after="0"/>
    </w:p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7B77"/>
    <w:rPr>
      <w:rFonts w:asciiTheme="minorHAnsi" w:eastAsiaTheme="majorEastAsia" w:hAnsiTheme="minorHAnsi" w:cstheme="majorBidi"/>
      <w:i/>
      <w:iCs/>
      <w:color w:val="365F91" w:themeColor="accent1" w:themeShade="BF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7B77"/>
    <w:rPr>
      <w:rFonts w:asciiTheme="minorHAnsi" w:eastAsiaTheme="majorEastAsia" w:hAnsiTheme="minorHAnsi" w:cstheme="majorBidi"/>
      <w:color w:val="365F91" w:themeColor="accent1" w:themeShade="BF"/>
      <w:sz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7B77"/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7B77"/>
    <w:rPr>
      <w:rFonts w:asciiTheme="minorHAnsi" w:eastAsiaTheme="majorEastAsia" w:hAnsiTheme="minorHAnsi" w:cstheme="majorBidi"/>
      <w:color w:val="595959" w:themeColor="text1" w:themeTint="A6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7B77"/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7B77"/>
    <w:rPr>
      <w:rFonts w:asciiTheme="minorHAnsi" w:eastAsiaTheme="majorEastAsia" w:hAnsiTheme="minorHAnsi" w:cstheme="majorBidi"/>
      <w:color w:val="272727" w:themeColor="text1" w:themeTint="D8"/>
      <w:sz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377B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7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7B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7B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7B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7B77"/>
    <w:rPr>
      <w:i/>
      <w:iCs/>
      <w:color w:val="404040" w:themeColor="text1" w:themeTint="BF"/>
      <w:sz w:val="24"/>
    </w:rPr>
  </w:style>
  <w:style w:type="paragraph" w:styleId="Liststycke">
    <w:name w:val="List Paragraph"/>
    <w:basedOn w:val="Normal"/>
    <w:uiPriority w:val="34"/>
    <w:qFormat/>
    <w:rsid w:val="00377B7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7B77"/>
    <w:rPr>
      <w:i/>
      <w:iCs/>
      <w:color w:val="365F9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7B7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7B77"/>
    <w:rPr>
      <w:i/>
      <w:iCs/>
      <w:color w:val="365F91" w:themeColor="accent1" w:themeShade="BF"/>
      <w:sz w:val="24"/>
    </w:rPr>
  </w:style>
  <w:style w:type="character" w:styleId="Starkreferens">
    <w:name w:val="Intense Reference"/>
    <w:basedOn w:val="Standardstycketeckensnitt"/>
    <w:uiPriority w:val="32"/>
    <w:qFormat/>
    <w:rsid w:val="00377B7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4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rvhols076\users\rveanj\fler&#229;r%202026\Renova%20Milj&#246;%20Fler&#229;r%20071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RVHOLS076\gemensam\Ekavd\in\Budget%202027\Presentationer\Renova%20Milj&#246;%20Fler&#229;r%200710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v-S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v-SE"/>
              <a:t>Obeskattade reserver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Blad1!$A$44</c:f>
              <c:strCache>
                <c:ptCount val="1"/>
                <c:pt idx="0">
                  <c:v>Obeskattade reserver ej lämnat KB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Blad1!$B$33:$M$33</c:f>
              <c:numCache>
                <c:formatCode>General</c:formatCode>
                <c:ptCount val="12"/>
                <c:pt idx="0">
                  <c:v>2025</c:v>
                </c:pt>
                <c:pt idx="1">
                  <c:v>2026</c:v>
                </c:pt>
                <c:pt idx="2">
                  <c:v>2027</c:v>
                </c:pt>
                <c:pt idx="3">
                  <c:v>2028</c:v>
                </c:pt>
                <c:pt idx="4">
                  <c:v>2029</c:v>
                </c:pt>
                <c:pt idx="5">
                  <c:v>2030</c:v>
                </c:pt>
                <c:pt idx="6">
                  <c:v>2031</c:v>
                </c:pt>
                <c:pt idx="7">
                  <c:v>2032</c:v>
                </c:pt>
                <c:pt idx="8">
                  <c:v>2033</c:v>
                </c:pt>
                <c:pt idx="9">
                  <c:v>2034</c:v>
                </c:pt>
                <c:pt idx="10">
                  <c:v>2035</c:v>
                </c:pt>
                <c:pt idx="11">
                  <c:v>2036</c:v>
                </c:pt>
              </c:numCache>
            </c:numRef>
          </c:cat>
          <c:val>
            <c:numRef>
              <c:f>Blad1!$B$44:$M$44</c:f>
              <c:numCache>
                <c:formatCode>#,##0</c:formatCode>
                <c:ptCount val="12"/>
                <c:pt idx="0">
                  <c:v>513</c:v>
                </c:pt>
                <c:pt idx="1">
                  <c:v>596.87208298213989</c:v>
                </c:pt>
                <c:pt idx="2">
                  <c:v>675.19777213929012</c:v>
                </c:pt>
                <c:pt idx="3">
                  <c:v>747.70269362991917</c:v>
                </c:pt>
                <c:pt idx="4">
                  <c:v>815.08354860821714</c:v>
                </c:pt>
                <c:pt idx="5">
                  <c:v>890.71317213125644</c:v>
                </c:pt>
                <c:pt idx="6">
                  <c:v>969.35199880412836</c:v>
                </c:pt>
                <c:pt idx="7">
                  <c:v>1049.3563035167604</c:v>
                </c:pt>
                <c:pt idx="8">
                  <c:v>1128.9170370729289</c:v>
                </c:pt>
                <c:pt idx="9">
                  <c:v>1206.9390441854518</c:v>
                </c:pt>
                <c:pt idx="10">
                  <c:v>1303.1178862349848</c:v>
                </c:pt>
                <c:pt idx="11">
                  <c:v>1389.7781781065723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C5-4EB7-9DC5-C65D5CED062D}"/>
            </c:ext>
          </c:extLst>
        </c:ser>
        <c:ser>
          <c:idx val="1"/>
          <c:order val="1"/>
          <c:tx>
            <c:strRef>
              <c:f>Blad1!$A$45</c:f>
              <c:strCache>
                <c:ptCount val="1"/>
                <c:pt idx="0">
                  <c:v>Obeskattade reserver lämnad KB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Blad1!$B$33:$M$33</c:f>
              <c:numCache>
                <c:formatCode>General</c:formatCode>
                <c:ptCount val="12"/>
                <c:pt idx="0">
                  <c:v>2025</c:v>
                </c:pt>
                <c:pt idx="1">
                  <c:v>2026</c:v>
                </c:pt>
                <c:pt idx="2">
                  <c:v>2027</c:v>
                </c:pt>
                <c:pt idx="3">
                  <c:v>2028</c:v>
                </c:pt>
                <c:pt idx="4">
                  <c:v>2029</c:v>
                </c:pt>
                <c:pt idx="5">
                  <c:v>2030</c:v>
                </c:pt>
                <c:pt idx="6">
                  <c:v>2031</c:v>
                </c:pt>
                <c:pt idx="7">
                  <c:v>2032</c:v>
                </c:pt>
                <c:pt idx="8">
                  <c:v>2033</c:v>
                </c:pt>
                <c:pt idx="9">
                  <c:v>2034</c:v>
                </c:pt>
                <c:pt idx="10">
                  <c:v>2035</c:v>
                </c:pt>
                <c:pt idx="11">
                  <c:v>2036</c:v>
                </c:pt>
              </c:numCache>
            </c:numRef>
          </c:cat>
          <c:val>
            <c:numRef>
              <c:f>Blad1!$B$45:$M$45</c:f>
              <c:numCache>
                <c:formatCode>#,##0</c:formatCode>
                <c:ptCount val="12"/>
                <c:pt idx="0">
                  <c:v>513</c:v>
                </c:pt>
                <c:pt idx="1">
                  <c:v>596.87208298213989</c:v>
                </c:pt>
                <c:pt idx="2">
                  <c:v>645.19777213929012</c:v>
                </c:pt>
                <c:pt idx="3">
                  <c:v>687.70269362991917</c:v>
                </c:pt>
                <c:pt idx="4">
                  <c:v>725.08354860821714</c:v>
                </c:pt>
                <c:pt idx="5">
                  <c:v>770.71317213125644</c:v>
                </c:pt>
                <c:pt idx="6">
                  <c:v>819.35199880412836</c:v>
                </c:pt>
                <c:pt idx="7">
                  <c:v>869.35630351676048</c:v>
                </c:pt>
                <c:pt idx="8">
                  <c:v>918.91703707292902</c:v>
                </c:pt>
                <c:pt idx="9">
                  <c:v>966.93904418545196</c:v>
                </c:pt>
                <c:pt idx="10">
                  <c:v>1033.1178862349848</c:v>
                </c:pt>
                <c:pt idx="11">
                  <c:v>1089.7781781065723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C5-4EB7-9DC5-C65D5CED06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9692255"/>
        <c:axId val="849693215"/>
      </c:barChart>
      <c:catAx>
        <c:axId val="8496922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849693215"/>
        <c:crosses val="autoZero"/>
        <c:auto val="1"/>
        <c:lblAlgn val="ctr"/>
        <c:lblOffset val="100"/>
        <c:noMultiLvlLbl val="0"/>
      </c:catAx>
      <c:valAx>
        <c:axId val="8496932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8496922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v-S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v-SE"/>
              <a:t>Soliditet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Blad1!$A$14</c:f>
              <c:strCache>
                <c:ptCount val="1"/>
                <c:pt idx="0">
                  <c:v>Lämnad KB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Blad1!$B$13:$M$13</c:f>
              <c:numCache>
                <c:formatCode>General</c:formatCode>
                <c:ptCount val="12"/>
                <c:pt idx="0">
                  <c:v>2025</c:v>
                </c:pt>
                <c:pt idx="1">
                  <c:v>2026</c:v>
                </c:pt>
                <c:pt idx="2">
                  <c:v>2027</c:v>
                </c:pt>
                <c:pt idx="3">
                  <c:v>2028</c:v>
                </c:pt>
                <c:pt idx="4">
                  <c:v>2029</c:v>
                </c:pt>
                <c:pt idx="5">
                  <c:v>2030</c:v>
                </c:pt>
                <c:pt idx="6">
                  <c:v>2031</c:v>
                </c:pt>
                <c:pt idx="7">
                  <c:v>2032</c:v>
                </c:pt>
                <c:pt idx="8">
                  <c:v>2033</c:v>
                </c:pt>
                <c:pt idx="9">
                  <c:v>2034</c:v>
                </c:pt>
                <c:pt idx="10">
                  <c:v>2035</c:v>
                </c:pt>
                <c:pt idx="11">
                  <c:v>2036</c:v>
                </c:pt>
              </c:numCache>
            </c:numRef>
          </c:cat>
          <c:val>
            <c:numRef>
              <c:f>Blad1!$B$14:$M$14</c:f>
              <c:numCache>
                <c:formatCode>0%</c:formatCode>
                <c:ptCount val="12"/>
                <c:pt idx="0">
                  <c:v>0.30140269917283413</c:v>
                </c:pt>
                <c:pt idx="1">
                  <c:v>0.30345069177035733</c:v>
                </c:pt>
                <c:pt idx="2">
                  <c:v>0.29872393602603531</c:v>
                </c:pt>
                <c:pt idx="3">
                  <c:v>0.29284494054033061</c:v>
                </c:pt>
                <c:pt idx="4">
                  <c:v>0.29067019249975778</c:v>
                </c:pt>
                <c:pt idx="5">
                  <c:v>0.29888032325883923</c:v>
                </c:pt>
                <c:pt idx="6">
                  <c:v>0.3135053413240414</c:v>
                </c:pt>
                <c:pt idx="7">
                  <c:v>0.33053236204466319</c:v>
                </c:pt>
                <c:pt idx="8">
                  <c:v>0.34356253315105501</c:v>
                </c:pt>
                <c:pt idx="9">
                  <c:v>0.35825240450104606</c:v>
                </c:pt>
                <c:pt idx="10">
                  <c:v>0.38051390566934312</c:v>
                </c:pt>
                <c:pt idx="11">
                  <c:v>0.36704534786100568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7C-4CD9-84D1-123CF4BA0895}"/>
            </c:ext>
          </c:extLst>
        </c:ser>
        <c:ser>
          <c:idx val="1"/>
          <c:order val="1"/>
          <c:tx>
            <c:strRef>
              <c:f>Blad1!$A$15</c:f>
              <c:strCache>
                <c:ptCount val="1"/>
                <c:pt idx="0">
                  <c:v>Ej lämnad KB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Blad1!$B$13:$M$13</c:f>
              <c:numCache>
                <c:formatCode>General</c:formatCode>
                <c:ptCount val="12"/>
                <c:pt idx="0">
                  <c:v>2025</c:v>
                </c:pt>
                <c:pt idx="1">
                  <c:v>2026</c:v>
                </c:pt>
                <c:pt idx="2">
                  <c:v>2027</c:v>
                </c:pt>
                <c:pt idx="3">
                  <c:v>2028</c:v>
                </c:pt>
                <c:pt idx="4">
                  <c:v>2029</c:v>
                </c:pt>
                <c:pt idx="5">
                  <c:v>2030</c:v>
                </c:pt>
                <c:pt idx="6">
                  <c:v>2031</c:v>
                </c:pt>
                <c:pt idx="7">
                  <c:v>2032</c:v>
                </c:pt>
                <c:pt idx="8">
                  <c:v>2033</c:v>
                </c:pt>
                <c:pt idx="9">
                  <c:v>2034</c:v>
                </c:pt>
                <c:pt idx="10">
                  <c:v>2035</c:v>
                </c:pt>
                <c:pt idx="11">
                  <c:v>2036</c:v>
                </c:pt>
              </c:numCache>
            </c:numRef>
          </c:cat>
          <c:val>
            <c:numRef>
              <c:f>Blad1!$B$15:$M$15</c:f>
              <c:numCache>
                <c:formatCode>0%</c:formatCode>
                <c:ptCount val="12"/>
                <c:pt idx="0">
                  <c:v>0.30140269917283413</c:v>
                </c:pt>
                <c:pt idx="1">
                  <c:v>0.30345069177035733</c:v>
                </c:pt>
                <c:pt idx="2">
                  <c:v>0.30764870700407815</c:v>
                </c:pt>
                <c:pt idx="3">
                  <c:v>0.30963258150379791</c:v>
                </c:pt>
                <c:pt idx="4">
                  <c:v>0.31480275632917615</c:v>
                </c:pt>
                <c:pt idx="5">
                  <c:v>0.33062951327414541</c:v>
                </c:pt>
                <c:pt idx="6">
                  <c:v>0.35341541354080197</c:v>
                </c:pt>
                <c:pt idx="7">
                  <c:v>0.37896996211743067</c:v>
                </c:pt>
                <c:pt idx="8">
                  <c:v>0.40002269516496669</c:v>
                </c:pt>
                <c:pt idx="9">
                  <c:v>0.42310028298181013</c:v>
                </c:pt>
                <c:pt idx="10">
                  <c:v>0.44092335358762269</c:v>
                </c:pt>
                <c:pt idx="11">
                  <c:v>0.4184770897346094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7C-4CD9-84D1-123CF4BA08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3888399"/>
        <c:axId val="923877839"/>
      </c:barChart>
      <c:catAx>
        <c:axId val="9238883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923877839"/>
        <c:crosses val="autoZero"/>
        <c:auto val="1"/>
        <c:lblAlgn val="ctr"/>
        <c:lblOffset val="100"/>
        <c:noMultiLvlLbl val="0"/>
      </c:catAx>
      <c:valAx>
        <c:axId val="9238778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9238883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379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Normalmall</dc:title>
  <dc:subject/>
  <dc:creator>Anna Johansson</dc:creator>
  <cp:keywords/>
  <dc:description/>
  <cp:lastModifiedBy>Anna Johansson</cp:lastModifiedBy>
  <cp:revision>1</cp:revision>
  <cp:lastPrinted>1899-12-31T23:00:00Z</cp:lastPrinted>
  <dcterms:created xsi:type="dcterms:W3CDTF">2026-10-08T09:55:00Z</dcterms:created>
  <dcterms:modified xsi:type="dcterms:W3CDTF">2026-10-08T09:57:00Z</dcterms:modified>
</cp:coreProperties>
</file>