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03411" w14:textId="77777777" w:rsidR="008539A7" w:rsidRDefault="008539A7" w:rsidP="00927232">
      <w:pPr>
        <w:ind w:left="-567"/>
      </w:pPr>
    </w:p>
    <w:p w14:paraId="477A2D3E" w14:textId="77777777" w:rsidR="008539A7" w:rsidRDefault="008539A7"/>
    <w:p w14:paraId="35267EC9" w14:textId="77777777" w:rsidR="008539A7" w:rsidRDefault="008539A7"/>
    <w:p w14:paraId="20DAC801" w14:textId="77777777" w:rsidR="008539A7" w:rsidRDefault="008539A7"/>
    <w:p w14:paraId="04377FD2" w14:textId="77777777" w:rsidR="008539A7" w:rsidRDefault="008539A7"/>
    <w:p w14:paraId="602F4A44" w14:textId="77777777" w:rsidR="008539A7" w:rsidRDefault="008539A7"/>
    <w:p w14:paraId="11410EA3" w14:textId="77777777" w:rsidR="008539A7" w:rsidRDefault="008539A7"/>
    <w:p w14:paraId="07DB4754" w14:textId="77777777" w:rsidR="008539A7" w:rsidRPr="00F84915" w:rsidRDefault="00BF2ED6" w:rsidP="00927232">
      <w:pPr>
        <w:ind w:left="-851"/>
        <w:rPr>
          <w:rFonts w:ascii="Arial" w:hAnsi="Arial" w:cs="Arial"/>
          <w:b/>
          <w:bCs/>
          <w:sz w:val="56"/>
          <w:szCs w:val="56"/>
        </w:rPr>
      </w:pPr>
      <w:r w:rsidRPr="00F84915">
        <w:rPr>
          <w:rFonts w:ascii="Arial" w:hAnsi="Arial" w:cs="Arial"/>
          <w:b/>
          <w:bCs/>
          <w:sz w:val="56"/>
          <w:szCs w:val="56"/>
        </w:rPr>
        <w:t>Årsrapport nämnder och styrelser 2025</w:t>
      </w:r>
    </w:p>
    <w:p w14:paraId="024C1944" w14:textId="77777777" w:rsidR="008539A7" w:rsidRPr="00FB1552" w:rsidRDefault="00BF2ED6" w:rsidP="00FB1552">
      <w:pPr>
        <w:ind w:left="-851"/>
        <w:rPr>
          <w:rFonts w:ascii="Arial" w:hAnsi="Arial" w:cs="Arial"/>
          <w:b/>
          <w:bCs/>
          <w:sz w:val="34"/>
          <w:szCs w:val="34"/>
        </w:rPr>
      </w:pPr>
      <w:r w:rsidRPr="00107367">
        <w:rPr>
          <w:rFonts w:ascii="Arial" w:hAnsi="Arial" w:cs="Arial"/>
          <w:b/>
          <w:bCs/>
          <w:sz w:val="34"/>
          <w:szCs w:val="34"/>
        </w:rPr>
        <w:t>Göteborgs Spårvägar AB</w:t>
      </w:r>
    </w:p>
    <w:p w14:paraId="3C71FE93" w14:textId="77777777" w:rsidR="00FB29D2" w:rsidRDefault="00BF2ED6">
      <w:r>
        <w:br w:type="page"/>
      </w:r>
    </w:p>
    <w:sdt>
      <w:sdtPr>
        <w:rPr>
          <w:rFonts w:ascii="Times New Roman" w:eastAsia="Times New Roman" w:hAnsi="Times New Roman" w:cs="Times New Roman"/>
          <w:b w:val="0"/>
          <w:bCs w:val="0"/>
          <w:color w:val="auto"/>
          <w:sz w:val="22"/>
          <w:szCs w:val="22"/>
        </w:rPr>
        <w:id w:val="-2070491531"/>
        <w:docPartObj>
          <w:docPartGallery w:val="Table of Contents"/>
          <w:docPartUnique/>
        </w:docPartObj>
      </w:sdtPr>
      <w:sdtEndPr/>
      <w:sdtContent>
        <w:p w14:paraId="7C402212" w14:textId="77777777" w:rsidR="00FB29D2" w:rsidRDefault="00BF2ED6">
          <w:pPr>
            <w:pStyle w:val="Innehllsfrteckningsrubrik"/>
          </w:pPr>
          <w:r>
            <w:t>Innehållsförteckning</w:t>
          </w:r>
        </w:p>
        <w:p w14:paraId="4368071F" w14:textId="77777777" w:rsidR="006A2256" w:rsidRDefault="00BF2ED6">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219980631" w:history="1">
            <w:r w:rsidR="006A2256" w:rsidRPr="00DB1277">
              <w:rPr>
                <w:rStyle w:val="Hyperlnk"/>
                <w:noProof/>
              </w:rPr>
              <w:t>1</w:t>
            </w:r>
            <w:r w:rsidR="006A2256">
              <w:rPr>
                <w:rFonts w:asciiTheme="minorHAnsi" w:hAnsiTheme="minorHAnsi"/>
                <w:b w:val="0"/>
                <w:bCs w:val="0"/>
                <w:noProof/>
                <w:color w:val="auto"/>
                <w:lang w:eastAsia="sv-SE"/>
              </w:rPr>
              <w:tab/>
            </w:r>
            <w:r w:rsidR="006A2256" w:rsidRPr="00DB1277">
              <w:rPr>
                <w:rStyle w:val="Hyperlnk"/>
                <w:noProof/>
              </w:rPr>
              <w:t>Sammanfattning</w:t>
            </w:r>
            <w:r w:rsidR="006A2256">
              <w:rPr>
                <w:noProof/>
                <w:webHidden/>
              </w:rPr>
              <w:tab/>
            </w:r>
            <w:r w:rsidR="006A2256">
              <w:rPr>
                <w:noProof/>
                <w:webHidden/>
              </w:rPr>
              <w:fldChar w:fldCharType="begin"/>
            </w:r>
            <w:r w:rsidR="006A2256">
              <w:rPr>
                <w:noProof/>
                <w:webHidden/>
              </w:rPr>
              <w:instrText xml:space="preserve"> PAGEREF _Toc219980631 \h </w:instrText>
            </w:r>
            <w:r w:rsidR="006A2256">
              <w:rPr>
                <w:noProof/>
                <w:webHidden/>
              </w:rPr>
            </w:r>
            <w:r w:rsidR="006A2256">
              <w:rPr>
                <w:noProof/>
                <w:webHidden/>
              </w:rPr>
              <w:fldChar w:fldCharType="separate"/>
            </w:r>
            <w:r w:rsidR="006A2256">
              <w:rPr>
                <w:noProof/>
                <w:webHidden/>
              </w:rPr>
              <w:t>4</w:t>
            </w:r>
            <w:r w:rsidR="006A2256">
              <w:rPr>
                <w:noProof/>
                <w:webHidden/>
              </w:rPr>
              <w:fldChar w:fldCharType="end"/>
            </w:r>
          </w:hyperlink>
        </w:p>
        <w:p w14:paraId="08E61066" w14:textId="77777777" w:rsidR="006A2256" w:rsidRDefault="006A2256">
          <w:pPr>
            <w:pStyle w:val="Innehll1"/>
            <w:rPr>
              <w:rFonts w:asciiTheme="minorHAnsi" w:hAnsiTheme="minorHAnsi"/>
              <w:b w:val="0"/>
              <w:bCs w:val="0"/>
              <w:noProof/>
              <w:color w:val="auto"/>
              <w:lang w:eastAsia="sv-SE"/>
            </w:rPr>
          </w:pPr>
          <w:hyperlink w:anchor="_Toc219980632" w:history="1">
            <w:r w:rsidRPr="00DB1277">
              <w:rPr>
                <w:rStyle w:val="Hyperlnk"/>
                <w:noProof/>
              </w:rPr>
              <w:t>2</w:t>
            </w:r>
            <w:r>
              <w:rPr>
                <w:rFonts w:asciiTheme="minorHAnsi" w:hAnsiTheme="minorHAnsi"/>
                <w:b w:val="0"/>
                <w:bCs w:val="0"/>
                <w:noProof/>
                <w:color w:val="auto"/>
                <w:lang w:eastAsia="sv-SE"/>
              </w:rPr>
              <w:tab/>
            </w:r>
            <w:r w:rsidRPr="00DB1277">
              <w:rPr>
                <w:rStyle w:val="Hyperlnk"/>
                <w:noProof/>
              </w:rPr>
              <w:t>Väsentlig styrinformation till kommunledningen</w:t>
            </w:r>
            <w:r>
              <w:rPr>
                <w:noProof/>
                <w:webHidden/>
              </w:rPr>
              <w:tab/>
            </w:r>
            <w:r>
              <w:rPr>
                <w:noProof/>
                <w:webHidden/>
              </w:rPr>
              <w:fldChar w:fldCharType="begin"/>
            </w:r>
            <w:r>
              <w:rPr>
                <w:noProof/>
                <w:webHidden/>
              </w:rPr>
              <w:instrText xml:space="preserve"> PAGEREF _Toc219980632 \h </w:instrText>
            </w:r>
            <w:r>
              <w:rPr>
                <w:noProof/>
                <w:webHidden/>
              </w:rPr>
            </w:r>
            <w:r>
              <w:rPr>
                <w:noProof/>
                <w:webHidden/>
              </w:rPr>
              <w:fldChar w:fldCharType="separate"/>
            </w:r>
            <w:r>
              <w:rPr>
                <w:noProof/>
                <w:webHidden/>
              </w:rPr>
              <w:t>5</w:t>
            </w:r>
            <w:r>
              <w:rPr>
                <w:noProof/>
                <w:webHidden/>
              </w:rPr>
              <w:fldChar w:fldCharType="end"/>
            </w:r>
          </w:hyperlink>
        </w:p>
        <w:p w14:paraId="7D0FCE40" w14:textId="77777777" w:rsidR="006A2256" w:rsidRDefault="006A2256">
          <w:pPr>
            <w:pStyle w:val="Innehll2"/>
            <w:rPr>
              <w:rFonts w:asciiTheme="minorHAnsi" w:eastAsiaTheme="minorEastAsia" w:hAnsiTheme="minorHAnsi" w:cstheme="minorBidi"/>
              <w:noProof/>
              <w:color w:val="auto"/>
              <w:lang w:eastAsia="sv-SE"/>
            </w:rPr>
          </w:pPr>
          <w:hyperlink w:anchor="_Toc219980633" w:history="1">
            <w:r w:rsidRPr="00DB1277">
              <w:rPr>
                <w:rStyle w:val="Hyperlnk"/>
                <w:noProof/>
              </w:rPr>
              <w:t>2.1</w:t>
            </w:r>
            <w:r>
              <w:rPr>
                <w:rFonts w:asciiTheme="minorHAnsi" w:eastAsiaTheme="minorEastAsia" w:hAnsiTheme="minorHAnsi" w:cstheme="minorBidi"/>
                <w:noProof/>
                <w:color w:val="auto"/>
                <w:lang w:eastAsia="sv-SE"/>
              </w:rPr>
              <w:tab/>
            </w:r>
            <w:r w:rsidRPr="00DB1277">
              <w:rPr>
                <w:rStyle w:val="Hyperlnk"/>
                <w:noProof/>
              </w:rPr>
              <w:t>Verksamhetens utveckling</w:t>
            </w:r>
            <w:r>
              <w:rPr>
                <w:noProof/>
                <w:webHidden/>
              </w:rPr>
              <w:tab/>
            </w:r>
            <w:r>
              <w:rPr>
                <w:noProof/>
                <w:webHidden/>
              </w:rPr>
              <w:fldChar w:fldCharType="begin"/>
            </w:r>
            <w:r>
              <w:rPr>
                <w:noProof/>
                <w:webHidden/>
              </w:rPr>
              <w:instrText xml:space="preserve"> PAGEREF _Toc219980633 \h </w:instrText>
            </w:r>
            <w:r>
              <w:rPr>
                <w:noProof/>
                <w:webHidden/>
              </w:rPr>
            </w:r>
            <w:r>
              <w:rPr>
                <w:noProof/>
                <w:webHidden/>
              </w:rPr>
              <w:fldChar w:fldCharType="separate"/>
            </w:r>
            <w:r>
              <w:rPr>
                <w:noProof/>
                <w:webHidden/>
              </w:rPr>
              <w:t>5</w:t>
            </w:r>
            <w:r>
              <w:rPr>
                <w:noProof/>
                <w:webHidden/>
              </w:rPr>
              <w:fldChar w:fldCharType="end"/>
            </w:r>
          </w:hyperlink>
        </w:p>
        <w:p w14:paraId="62686C1A"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34" w:history="1">
            <w:r w:rsidRPr="00DB1277">
              <w:rPr>
                <w:rStyle w:val="Hyperlnk"/>
                <w:noProof/>
              </w:rPr>
              <w:t>2.1.1</w:t>
            </w:r>
            <w:r>
              <w:rPr>
                <w:rFonts w:asciiTheme="minorHAnsi" w:eastAsiaTheme="minorEastAsia" w:hAnsiTheme="minorHAnsi" w:cstheme="minorBidi"/>
                <w:noProof/>
                <w:color w:val="auto"/>
                <w:lang w:eastAsia="sv-SE"/>
              </w:rPr>
              <w:tab/>
            </w:r>
            <w:r w:rsidRPr="00DB1277">
              <w:rPr>
                <w:rStyle w:val="Hyperlnk"/>
                <w:noProof/>
              </w:rPr>
              <w:t>Redovisning av resultat</w:t>
            </w:r>
            <w:r>
              <w:rPr>
                <w:noProof/>
                <w:webHidden/>
              </w:rPr>
              <w:tab/>
            </w:r>
            <w:r>
              <w:rPr>
                <w:noProof/>
                <w:webHidden/>
              </w:rPr>
              <w:fldChar w:fldCharType="begin"/>
            </w:r>
            <w:r>
              <w:rPr>
                <w:noProof/>
                <w:webHidden/>
              </w:rPr>
              <w:instrText xml:space="preserve"> PAGEREF _Toc219980634 \h </w:instrText>
            </w:r>
            <w:r>
              <w:rPr>
                <w:noProof/>
                <w:webHidden/>
              </w:rPr>
            </w:r>
            <w:r>
              <w:rPr>
                <w:noProof/>
                <w:webHidden/>
              </w:rPr>
              <w:fldChar w:fldCharType="separate"/>
            </w:r>
            <w:r>
              <w:rPr>
                <w:noProof/>
                <w:webHidden/>
              </w:rPr>
              <w:t>5</w:t>
            </w:r>
            <w:r>
              <w:rPr>
                <w:noProof/>
                <w:webHidden/>
              </w:rPr>
              <w:fldChar w:fldCharType="end"/>
            </w:r>
          </w:hyperlink>
        </w:p>
        <w:p w14:paraId="5B080F37"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35" w:history="1">
            <w:r w:rsidRPr="00DB1277">
              <w:rPr>
                <w:rStyle w:val="Hyperlnk"/>
                <w:noProof/>
              </w:rPr>
              <w:t>2.1.2</w:t>
            </w:r>
            <w:r>
              <w:rPr>
                <w:rFonts w:asciiTheme="minorHAnsi" w:eastAsiaTheme="minorEastAsia" w:hAnsiTheme="minorHAnsi" w:cstheme="minorBidi"/>
                <w:noProof/>
                <w:color w:val="auto"/>
                <w:lang w:eastAsia="sv-SE"/>
              </w:rPr>
              <w:tab/>
            </w:r>
            <w:r w:rsidRPr="00DB1277">
              <w:rPr>
                <w:rStyle w:val="Hyperlnk"/>
                <w:noProof/>
              </w:rPr>
              <w:t>Väsentliga avvikelser i verksamhetens utveckling</w:t>
            </w:r>
            <w:r>
              <w:rPr>
                <w:noProof/>
                <w:webHidden/>
              </w:rPr>
              <w:tab/>
            </w:r>
            <w:r>
              <w:rPr>
                <w:noProof/>
                <w:webHidden/>
              </w:rPr>
              <w:fldChar w:fldCharType="begin"/>
            </w:r>
            <w:r>
              <w:rPr>
                <w:noProof/>
                <w:webHidden/>
              </w:rPr>
              <w:instrText xml:space="preserve"> PAGEREF _Toc219980635 \h </w:instrText>
            </w:r>
            <w:r>
              <w:rPr>
                <w:noProof/>
                <w:webHidden/>
              </w:rPr>
            </w:r>
            <w:r>
              <w:rPr>
                <w:noProof/>
                <w:webHidden/>
              </w:rPr>
              <w:fldChar w:fldCharType="separate"/>
            </w:r>
            <w:r>
              <w:rPr>
                <w:noProof/>
                <w:webHidden/>
              </w:rPr>
              <w:t>6</w:t>
            </w:r>
            <w:r>
              <w:rPr>
                <w:noProof/>
                <w:webHidden/>
              </w:rPr>
              <w:fldChar w:fldCharType="end"/>
            </w:r>
          </w:hyperlink>
        </w:p>
        <w:p w14:paraId="5F3C8ECA"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36" w:history="1">
            <w:r w:rsidRPr="00DB1277">
              <w:rPr>
                <w:rStyle w:val="Hyperlnk"/>
                <w:noProof/>
              </w:rPr>
              <w:t>2.1.3</w:t>
            </w:r>
            <w:r>
              <w:rPr>
                <w:rFonts w:asciiTheme="minorHAnsi" w:eastAsiaTheme="minorEastAsia" w:hAnsiTheme="minorHAnsi" w:cstheme="minorBidi"/>
                <w:noProof/>
                <w:color w:val="auto"/>
                <w:lang w:eastAsia="sv-SE"/>
              </w:rPr>
              <w:tab/>
            </w:r>
            <w:r w:rsidRPr="00DB1277">
              <w:rPr>
                <w:rStyle w:val="Hyperlnk"/>
                <w:noProof/>
              </w:rPr>
              <w:t>Övrig väsentlig styrinformation till kommunstyrelsen</w:t>
            </w:r>
            <w:r>
              <w:rPr>
                <w:noProof/>
                <w:webHidden/>
              </w:rPr>
              <w:tab/>
            </w:r>
            <w:r>
              <w:rPr>
                <w:noProof/>
                <w:webHidden/>
              </w:rPr>
              <w:fldChar w:fldCharType="begin"/>
            </w:r>
            <w:r>
              <w:rPr>
                <w:noProof/>
                <w:webHidden/>
              </w:rPr>
              <w:instrText xml:space="preserve"> PAGEREF _Toc219980636 \h </w:instrText>
            </w:r>
            <w:r>
              <w:rPr>
                <w:noProof/>
                <w:webHidden/>
              </w:rPr>
            </w:r>
            <w:r>
              <w:rPr>
                <w:noProof/>
                <w:webHidden/>
              </w:rPr>
              <w:fldChar w:fldCharType="separate"/>
            </w:r>
            <w:r>
              <w:rPr>
                <w:noProof/>
                <w:webHidden/>
              </w:rPr>
              <w:t>7</w:t>
            </w:r>
            <w:r>
              <w:rPr>
                <w:noProof/>
                <w:webHidden/>
              </w:rPr>
              <w:fldChar w:fldCharType="end"/>
            </w:r>
          </w:hyperlink>
        </w:p>
        <w:p w14:paraId="313EC51C" w14:textId="77777777" w:rsidR="006A2256" w:rsidRDefault="006A2256">
          <w:pPr>
            <w:pStyle w:val="Innehll2"/>
            <w:rPr>
              <w:rFonts w:asciiTheme="minorHAnsi" w:eastAsiaTheme="minorEastAsia" w:hAnsiTheme="minorHAnsi" w:cstheme="minorBidi"/>
              <w:noProof/>
              <w:color w:val="auto"/>
              <w:lang w:eastAsia="sv-SE"/>
            </w:rPr>
          </w:pPr>
          <w:hyperlink w:anchor="_Toc219980637" w:history="1">
            <w:r w:rsidRPr="00DB1277">
              <w:rPr>
                <w:rStyle w:val="Hyperlnk"/>
                <w:noProof/>
              </w:rPr>
              <w:t>2.2</w:t>
            </w:r>
            <w:r>
              <w:rPr>
                <w:rFonts w:asciiTheme="minorHAnsi" w:eastAsiaTheme="minorEastAsia" w:hAnsiTheme="minorHAnsi" w:cstheme="minorBidi"/>
                <w:noProof/>
                <w:color w:val="auto"/>
                <w:lang w:eastAsia="sv-SE"/>
              </w:rPr>
              <w:tab/>
            </w:r>
            <w:r w:rsidRPr="00DB1277">
              <w:rPr>
                <w:rStyle w:val="Hyperlnk"/>
                <w:noProof/>
              </w:rPr>
              <w:t>Uppföljning av kommunfullmäktiges budgetmål</w:t>
            </w:r>
            <w:r>
              <w:rPr>
                <w:noProof/>
                <w:webHidden/>
              </w:rPr>
              <w:tab/>
            </w:r>
            <w:r>
              <w:rPr>
                <w:noProof/>
                <w:webHidden/>
              </w:rPr>
              <w:fldChar w:fldCharType="begin"/>
            </w:r>
            <w:r>
              <w:rPr>
                <w:noProof/>
                <w:webHidden/>
              </w:rPr>
              <w:instrText xml:space="preserve"> PAGEREF _Toc219980637 \h </w:instrText>
            </w:r>
            <w:r>
              <w:rPr>
                <w:noProof/>
                <w:webHidden/>
              </w:rPr>
            </w:r>
            <w:r>
              <w:rPr>
                <w:noProof/>
                <w:webHidden/>
              </w:rPr>
              <w:fldChar w:fldCharType="separate"/>
            </w:r>
            <w:r>
              <w:rPr>
                <w:noProof/>
                <w:webHidden/>
              </w:rPr>
              <w:t>7</w:t>
            </w:r>
            <w:r>
              <w:rPr>
                <w:noProof/>
                <w:webHidden/>
              </w:rPr>
              <w:fldChar w:fldCharType="end"/>
            </w:r>
          </w:hyperlink>
        </w:p>
        <w:p w14:paraId="501C81F6"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38" w:history="1">
            <w:r w:rsidRPr="00DB1277">
              <w:rPr>
                <w:rStyle w:val="Hyperlnk"/>
                <w:noProof/>
              </w:rPr>
              <w:t>2.2.1</w:t>
            </w:r>
            <w:r>
              <w:rPr>
                <w:rFonts w:asciiTheme="minorHAnsi" w:eastAsiaTheme="minorEastAsia" w:hAnsiTheme="minorHAnsi" w:cstheme="minorBidi"/>
                <w:noProof/>
                <w:color w:val="auto"/>
                <w:lang w:eastAsia="sv-SE"/>
              </w:rPr>
              <w:tab/>
            </w:r>
            <w:r w:rsidRPr="00DB1277">
              <w:rPr>
                <w:rStyle w:val="Hyperlnk"/>
                <w:noProof/>
              </w:rPr>
              <w:t>Göteborg ska vara en jämlik och trygg stad där alla invånare ges inflytande och möjlighet till delaktighet.</w:t>
            </w:r>
            <w:r>
              <w:rPr>
                <w:noProof/>
                <w:webHidden/>
              </w:rPr>
              <w:tab/>
            </w:r>
            <w:r>
              <w:rPr>
                <w:noProof/>
                <w:webHidden/>
              </w:rPr>
              <w:fldChar w:fldCharType="begin"/>
            </w:r>
            <w:r>
              <w:rPr>
                <w:noProof/>
                <w:webHidden/>
              </w:rPr>
              <w:instrText xml:space="preserve"> PAGEREF _Toc219980638 \h </w:instrText>
            </w:r>
            <w:r>
              <w:rPr>
                <w:noProof/>
                <w:webHidden/>
              </w:rPr>
            </w:r>
            <w:r>
              <w:rPr>
                <w:noProof/>
                <w:webHidden/>
              </w:rPr>
              <w:fldChar w:fldCharType="separate"/>
            </w:r>
            <w:r>
              <w:rPr>
                <w:noProof/>
                <w:webHidden/>
              </w:rPr>
              <w:t>7</w:t>
            </w:r>
            <w:r>
              <w:rPr>
                <w:noProof/>
                <w:webHidden/>
              </w:rPr>
              <w:fldChar w:fldCharType="end"/>
            </w:r>
          </w:hyperlink>
        </w:p>
        <w:p w14:paraId="70B29C72"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39" w:history="1">
            <w:r w:rsidRPr="00DB1277">
              <w:rPr>
                <w:rStyle w:val="Hyperlnk"/>
                <w:noProof/>
              </w:rPr>
              <w:t>2.2.2</w:t>
            </w:r>
            <w:r>
              <w:rPr>
                <w:rFonts w:asciiTheme="minorHAnsi" w:eastAsiaTheme="minorEastAsia" w:hAnsiTheme="minorHAnsi" w:cstheme="minorBidi"/>
                <w:noProof/>
                <w:color w:val="auto"/>
                <w:lang w:eastAsia="sv-SE"/>
              </w:rPr>
              <w:tab/>
            </w:r>
            <w:r w:rsidRPr="00DB1277">
              <w:rPr>
                <w:rStyle w:val="Hyperlnk"/>
                <w:noProof/>
              </w:rPr>
              <w:t>Segregationen i Göteborg ska brytas.</w:t>
            </w:r>
            <w:r>
              <w:rPr>
                <w:noProof/>
                <w:webHidden/>
              </w:rPr>
              <w:tab/>
            </w:r>
            <w:r>
              <w:rPr>
                <w:noProof/>
                <w:webHidden/>
              </w:rPr>
              <w:fldChar w:fldCharType="begin"/>
            </w:r>
            <w:r>
              <w:rPr>
                <w:noProof/>
                <w:webHidden/>
              </w:rPr>
              <w:instrText xml:space="preserve"> PAGEREF _Toc219980639 \h </w:instrText>
            </w:r>
            <w:r>
              <w:rPr>
                <w:noProof/>
                <w:webHidden/>
              </w:rPr>
            </w:r>
            <w:r>
              <w:rPr>
                <w:noProof/>
                <w:webHidden/>
              </w:rPr>
              <w:fldChar w:fldCharType="separate"/>
            </w:r>
            <w:r>
              <w:rPr>
                <w:noProof/>
                <w:webHidden/>
              </w:rPr>
              <w:t>8</w:t>
            </w:r>
            <w:r>
              <w:rPr>
                <w:noProof/>
                <w:webHidden/>
              </w:rPr>
              <w:fldChar w:fldCharType="end"/>
            </w:r>
          </w:hyperlink>
        </w:p>
        <w:p w14:paraId="0F28B8B4"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40" w:history="1">
            <w:r w:rsidRPr="00DB1277">
              <w:rPr>
                <w:rStyle w:val="Hyperlnk"/>
                <w:noProof/>
              </w:rPr>
              <w:t>2.2.3</w:t>
            </w:r>
            <w:r>
              <w:rPr>
                <w:rFonts w:asciiTheme="minorHAnsi" w:eastAsiaTheme="minorEastAsia" w:hAnsiTheme="minorHAnsi" w:cstheme="minorBidi"/>
                <w:noProof/>
                <w:color w:val="auto"/>
                <w:lang w:eastAsia="sv-SE"/>
              </w:rPr>
              <w:tab/>
            </w:r>
            <w:r w:rsidRPr="00DB1277">
              <w:rPr>
                <w:rStyle w:val="Hyperlnk"/>
                <w:noProof/>
              </w:rPr>
              <w:t>Göteborg ska klara kompetensförsörjningen.</w:t>
            </w:r>
            <w:r>
              <w:rPr>
                <w:noProof/>
                <w:webHidden/>
              </w:rPr>
              <w:tab/>
            </w:r>
            <w:r>
              <w:rPr>
                <w:noProof/>
                <w:webHidden/>
              </w:rPr>
              <w:fldChar w:fldCharType="begin"/>
            </w:r>
            <w:r>
              <w:rPr>
                <w:noProof/>
                <w:webHidden/>
              </w:rPr>
              <w:instrText xml:space="preserve"> PAGEREF _Toc219980640 \h </w:instrText>
            </w:r>
            <w:r>
              <w:rPr>
                <w:noProof/>
                <w:webHidden/>
              </w:rPr>
            </w:r>
            <w:r>
              <w:rPr>
                <w:noProof/>
                <w:webHidden/>
              </w:rPr>
              <w:fldChar w:fldCharType="separate"/>
            </w:r>
            <w:r>
              <w:rPr>
                <w:noProof/>
                <w:webHidden/>
              </w:rPr>
              <w:t>8</w:t>
            </w:r>
            <w:r>
              <w:rPr>
                <w:noProof/>
                <w:webHidden/>
              </w:rPr>
              <w:fldChar w:fldCharType="end"/>
            </w:r>
          </w:hyperlink>
        </w:p>
        <w:p w14:paraId="28428B76"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41" w:history="1">
            <w:r w:rsidRPr="00DB1277">
              <w:rPr>
                <w:rStyle w:val="Hyperlnk"/>
                <w:noProof/>
              </w:rPr>
              <w:t>2.2.4</w:t>
            </w:r>
            <w:r>
              <w:rPr>
                <w:rFonts w:asciiTheme="minorHAnsi" w:eastAsiaTheme="minorEastAsia" w:hAnsiTheme="minorHAnsi" w:cstheme="minorBidi"/>
                <w:noProof/>
                <w:color w:val="auto"/>
                <w:lang w:eastAsia="sv-SE"/>
              </w:rPr>
              <w:tab/>
            </w:r>
            <w:r w:rsidRPr="00DB1277">
              <w:rPr>
                <w:rStyle w:val="Hyperlnk"/>
                <w:noProof/>
              </w:rPr>
              <w:t>Göteborg ska byggas ihop till en grön och levande stad utan bostadsbrist.</w:t>
            </w:r>
            <w:r>
              <w:rPr>
                <w:noProof/>
                <w:webHidden/>
              </w:rPr>
              <w:tab/>
            </w:r>
            <w:r>
              <w:rPr>
                <w:noProof/>
                <w:webHidden/>
              </w:rPr>
              <w:fldChar w:fldCharType="begin"/>
            </w:r>
            <w:r>
              <w:rPr>
                <w:noProof/>
                <w:webHidden/>
              </w:rPr>
              <w:instrText xml:space="preserve"> PAGEREF _Toc219980641 \h </w:instrText>
            </w:r>
            <w:r>
              <w:rPr>
                <w:noProof/>
                <w:webHidden/>
              </w:rPr>
            </w:r>
            <w:r>
              <w:rPr>
                <w:noProof/>
                <w:webHidden/>
              </w:rPr>
              <w:fldChar w:fldCharType="separate"/>
            </w:r>
            <w:r>
              <w:rPr>
                <w:noProof/>
                <w:webHidden/>
              </w:rPr>
              <w:t>8</w:t>
            </w:r>
            <w:r>
              <w:rPr>
                <w:noProof/>
                <w:webHidden/>
              </w:rPr>
              <w:fldChar w:fldCharType="end"/>
            </w:r>
          </w:hyperlink>
        </w:p>
        <w:p w14:paraId="1BECFEF1"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42" w:history="1">
            <w:r w:rsidRPr="00DB1277">
              <w:rPr>
                <w:rStyle w:val="Hyperlnk"/>
                <w:noProof/>
              </w:rPr>
              <w:t>2.2.5</w:t>
            </w:r>
            <w:r>
              <w:rPr>
                <w:rFonts w:asciiTheme="minorHAnsi" w:eastAsiaTheme="minorEastAsia" w:hAnsiTheme="minorHAnsi" w:cstheme="minorBidi"/>
                <w:noProof/>
                <w:color w:val="auto"/>
                <w:lang w:eastAsia="sv-SE"/>
              </w:rPr>
              <w:tab/>
            </w:r>
            <w:r w:rsidRPr="00DB1277">
              <w:rPr>
                <w:rStyle w:val="Hyperlnk"/>
                <w:noProof/>
              </w:rPr>
              <w:t>Göteborg ska vara ledande i klimatomställningen och ha en hög biologisk mångfald.</w:t>
            </w:r>
            <w:r>
              <w:rPr>
                <w:noProof/>
                <w:webHidden/>
              </w:rPr>
              <w:tab/>
            </w:r>
            <w:r>
              <w:rPr>
                <w:noProof/>
                <w:webHidden/>
              </w:rPr>
              <w:fldChar w:fldCharType="begin"/>
            </w:r>
            <w:r>
              <w:rPr>
                <w:noProof/>
                <w:webHidden/>
              </w:rPr>
              <w:instrText xml:space="preserve"> PAGEREF _Toc219980642 \h </w:instrText>
            </w:r>
            <w:r>
              <w:rPr>
                <w:noProof/>
                <w:webHidden/>
              </w:rPr>
            </w:r>
            <w:r>
              <w:rPr>
                <w:noProof/>
                <w:webHidden/>
              </w:rPr>
              <w:fldChar w:fldCharType="separate"/>
            </w:r>
            <w:r>
              <w:rPr>
                <w:noProof/>
                <w:webHidden/>
              </w:rPr>
              <w:t>8</w:t>
            </w:r>
            <w:r>
              <w:rPr>
                <w:noProof/>
                <w:webHidden/>
              </w:rPr>
              <w:fldChar w:fldCharType="end"/>
            </w:r>
          </w:hyperlink>
        </w:p>
        <w:p w14:paraId="6DFD2B8E"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43" w:history="1">
            <w:r w:rsidRPr="00DB1277">
              <w:rPr>
                <w:rStyle w:val="Hyperlnk"/>
                <w:noProof/>
              </w:rPr>
              <w:t>2.2.6</w:t>
            </w:r>
            <w:r>
              <w:rPr>
                <w:rFonts w:asciiTheme="minorHAnsi" w:eastAsiaTheme="minorEastAsia" w:hAnsiTheme="minorHAnsi" w:cstheme="minorBidi"/>
                <w:noProof/>
                <w:color w:val="auto"/>
                <w:lang w:eastAsia="sv-SE"/>
              </w:rPr>
              <w:tab/>
            </w:r>
            <w:r w:rsidRPr="00DB1277">
              <w:rPr>
                <w:rStyle w:val="Hyperlnk"/>
                <w:noProof/>
              </w:rPr>
              <w:t>Göteborgs Stad ska ha en välfärd som möter göteborgarnas behov.</w:t>
            </w:r>
            <w:r>
              <w:rPr>
                <w:noProof/>
                <w:webHidden/>
              </w:rPr>
              <w:tab/>
            </w:r>
            <w:r>
              <w:rPr>
                <w:noProof/>
                <w:webHidden/>
              </w:rPr>
              <w:fldChar w:fldCharType="begin"/>
            </w:r>
            <w:r>
              <w:rPr>
                <w:noProof/>
                <w:webHidden/>
              </w:rPr>
              <w:instrText xml:space="preserve"> PAGEREF _Toc219980643 \h </w:instrText>
            </w:r>
            <w:r>
              <w:rPr>
                <w:noProof/>
                <w:webHidden/>
              </w:rPr>
            </w:r>
            <w:r>
              <w:rPr>
                <w:noProof/>
                <w:webHidden/>
              </w:rPr>
              <w:fldChar w:fldCharType="separate"/>
            </w:r>
            <w:r>
              <w:rPr>
                <w:noProof/>
                <w:webHidden/>
              </w:rPr>
              <w:t>9</w:t>
            </w:r>
            <w:r>
              <w:rPr>
                <w:noProof/>
                <w:webHidden/>
              </w:rPr>
              <w:fldChar w:fldCharType="end"/>
            </w:r>
          </w:hyperlink>
        </w:p>
        <w:p w14:paraId="247CD5C8"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44" w:history="1">
            <w:r w:rsidRPr="00DB1277">
              <w:rPr>
                <w:rStyle w:val="Hyperlnk"/>
                <w:noProof/>
              </w:rPr>
              <w:t>2.2.7</w:t>
            </w:r>
            <w:r>
              <w:rPr>
                <w:rFonts w:asciiTheme="minorHAnsi" w:eastAsiaTheme="minorEastAsia" w:hAnsiTheme="minorHAnsi" w:cstheme="minorBidi"/>
                <w:noProof/>
                <w:color w:val="auto"/>
                <w:lang w:eastAsia="sv-SE"/>
              </w:rPr>
              <w:tab/>
            </w:r>
            <w:r w:rsidRPr="00DB1277">
              <w:rPr>
                <w:rStyle w:val="Hyperlnk"/>
                <w:noProof/>
              </w:rPr>
              <w:t>Göteborgs Stad ska ge sina anställda en bra arbetsmiljö och goda arbetsvillkor.</w:t>
            </w:r>
            <w:r>
              <w:rPr>
                <w:noProof/>
                <w:webHidden/>
              </w:rPr>
              <w:tab/>
            </w:r>
            <w:r>
              <w:rPr>
                <w:noProof/>
                <w:webHidden/>
              </w:rPr>
              <w:fldChar w:fldCharType="begin"/>
            </w:r>
            <w:r>
              <w:rPr>
                <w:noProof/>
                <w:webHidden/>
              </w:rPr>
              <w:instrText xml:space="preserve"> PAGEREF _Toc219980644 \h </w:instrText>
            </w:r>
            <w:r>
              <w:rPr>
                <w:noProof/>
                <w:webHidden/>
              </w:rPr>
            </w:r>
            <w:r>
              <w:rPr>
                <w:noProof/>
                <w:webHidden/>
              </w:rPr>
              <w:fldChar w:fldCharType="separate"/>
            </w:r>
            <w:r>
              <w:rPr>
                <w:noProof/>
                <w:webHidden/>
              </w:rPr>
              <w:t>9</w:t>
            </w:r>
            <w:r>
              <w:rPr>
                <w:noProof/>
                <w:webHidden/>
              </w:rPr>
              <w:fldChar w:fldCharType="end"/>
            </w:r>
          </w:hyperlink>
        </w:p>
        <w:p w14:paraId="64222269" w14:textId="77777777" w:rsidR="006A2256" w:rsidRDefault="006A2256">
          <w:pPr>
            <w:pStyle w:val="Innehll2"/>
            <w:rPr>
              <w:rFonts w:asciiTheme="minorHAnsi" w:eastAsiaTheme="minorEastAsia" w:hAnsiTheme="minorHAnsi" w:cstheme="minorBidi"/>
              <w:noProof/>
              <w:color w:val="auto"/>
              <w:lang w:eastAsia="sv-SE"/>
            </w:rPr>
          </w:pPr>
          <w:hyperlink w:anchor="_Toc219980645" w:history="1">
            <w:r w:rsidRPr="00DB1277">
              <w:rPr>
                <w:rStyle w:val="Hyperlnk"/>
                <w:noProof/>
              </w:rPr>
              <w:t>2.3</w:t>
            </w:r>
            <w:r>
              <w:rPr>
                <w:rFonts w:asciiTheme="minorHAnsi" w:eastAsiaTheme="minorEastAsia" w:hAnsiTheme="minorHAnsi" w:cstheme="minorBidi"/>
                <w:noProof/>
                <w:color w:val="auto"/>
                <w:lang w:eastAsia="sv-SE"/>
              </w:rPr>
              <w:tab/>
            </w:r>
            <w:r w:rsidRPr="00DB1277">
              <w:rPr>
                <w:rStyle w:val="Hyperlnk"/>
                <w:noProof/>
              </w:rPr>
              <w:t>Väsentliga personalförhållanden</w:t>
            </w:r>
            <w:r>
              <w:rPr>
                <w:noProof/>
                <w:webHidden/>
              </w:rPr>
              <w:tab/>
            </w:r>
            <w:r>
              <w:rPr>
                <w:noProof/>
                <w:webHidden/>
              </w:rPr>
              <w:fldChar w:fldCharType="begin"/>
            </w:r>
            <w:r>
              <w:rPr>
                <w:noProof/>
                <w:webHidden/>
              </w:rPr>
              <w:instrText xml:space="preserve"> PAGEREF _Toc219980645 \h </w:instrText>
            </w:r>
            <w:r>
              <w:rPr>
                <w:noProof/>
                <w:webHidden/>
              </w:rPr>
            </w:r>
            <w:r>
              <w:rPr>
                <w:noProof/>
                <w:webHidden/>
              </w:rPr>
              <w:fldChar w:fldCharType="separate"/>
            </w:r>
            <w:r>
              <w:rPr>
                <w:noProof/>
                <w:webHidden/>
              </w:rPr>
              <w:t>9</w:t>
            </w:r>
            <w:r>
              <w:rPr>
                <w:noProof/>
                <w:webHidden/>
              </w:rPr>
              <w:fldChar w:fldCharType="end"/>
            </w:r>
          </w:hyperlink>
        </w:p>
        <w:p w14:paraId="0C8EFE4C"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46" w:history="1">
            <w:r w:rsidRPr="00DB1277">
              <w:rPr>
                <w:rStyle w:val="Hyperlnk"/>
                <w:noProof/>
              </w:rPr>
              <w:t>2.3.1</w:t>
            </w:r>
            <w:r>
              <w:rPr>
                <w:rFonts w:asciiTheme="minorHAnsi" w:eastAsiaTheme="minorEastAsia" w:hAnsiTheme="minorHAnsi" w:cstheme="minorBidi"/>
                <w:noProof/>
                <w:color w:val="auto"/>
                <w:lang w:eastAsia="sv-SE"/>
              </w:rPr>
              <w:tab/>
            </w:r>
            <w:r w:rsidRPr="00DB1277">
              <w:rPr>
                <w:rStyle w:val="Hyperlnk"/>
                <w:noProof/>
              </w:rPr>
              <w:t>Mått/nyckeltal som beskriver utvecklingen ur ett HR-perspektiv (styrelser)</w:t>
            </w:r>
            <w:r>
              <w:rPr>
                <w:noProof/>
                <w:webHidden/>
              </w:rPr>
              <w:tab/>
            </w:r>
            <w:r>
              <w:rPr>
                <w:noProof/>
                <w:webHidden/>
              </w:rPr>
              <w:fldChar w:fldCharType="begin"/>
            </w:r>
            <w:r>
              <w:rPr>
                <w:noProof/>
                <w:webHidden/>
              </w:rPr>
              <w:instrText xml:space="preserve"> PAGEREF _Toc219980646 \h </w:instrText>
            </w:r>
            <w:r>
              <w:rPr>
                <w:noProof/>
                <w:webHidden/>
              </w:rPr>
            </w:r>
            <w:r>
              <w:rPr>
                <w:noProof/>
                <w:webHidden/>
              </w:rPr>
              <w:fldChar w:fldCharType="separate"/>
            </w:r>
            <w:r>
              <w:rPr>
                <w:noProof/>
                <w:webHidden/>
              </w:rPr>
              <w:t>9</w:t>
            </w:r>
            <w:r>
              <w:rPr>
                <w:noProof/>
                <w:webHidden/>
              </w:rPr>
              <w:fldChar w:fldCharType="end"/>
            </w:r>
          </w:hyperlink>
        </w:p>
        <w:p w14:paraId="64BE6F84"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47" w:history="1">
            <w:r w:rsidRPr="00DB1277">
              <w:rPr>
                <w:rStyle w:val="Hyperlnk"/>
                <w:noProof/>
              </w:rPr>
              <w:t>2.3.2</w:t>
            </w:r>
            <w:r>
              <w:rPr>
                <w:rFonts w:asciiTheme="minorHAnsi" w:eastAsiaTheme="minorEastAsia" w:hAnsiTheme="minorHAnsi" w:cstheme="minorBidi"/>
                <w:noProof/>
                <w:color w:val="auto"/>
                <w:lang w:eastAsia="sv-SE"/>
              </w:rPr>
              <w:tab/>
            </w:r>
            <w:r w:rsidRPr="00DB1277">
              <w:rPr>
                <w:rStyle w:val="Hyperlnk"/>
                <w:noProof/>
              </w:rPr>
              <w:t>Analys av situationen inom HR-området</w:t>
            </w:r>
            <w:r>
              <w:rPr>
                <w:noProof/>
                <w:webHidden/>
              </w:rPr>
              <w:tab/>
            </w:r>
            <w:r>
              <w:rPr>
                <w:noProof/>
                <w:webHidden/>
              </w:rPr>
              <w:fldChar w:fldCharType="begin"/>
            </w:r>
            <w:r>
              <w:rPr>
                <w:noProof/>
                <w:webHidden/>
              </w:rPr>
              <w:instrText xml:space="preserve"> PAGEREF _Toc219980647 \h </w:instrText>
            </w:r>
            <w:r>
              <w:rPr>
                <w:noProof/>
                <w:webHidden/>
              </w:rPr>
            </w:r>
            <w:r>
              <w:rPr>
                <w:noProof/>
                <w:webHidden/>
              </w:rPr>
              <w:fldChar w:fldCharType="separate"/>
            </w:r>
            <w:r>
              <w:rPr>
                <w:noProof/>
                <w:webHidden/>
              </w:rPr>
              <w:t>9</w:t>
            </w:r>
            <w:r>
              <w:rPr>
                <w:noProof/>
                <w:webHidden/>
              </w:rPr>
              <w:fldChar w:fldCharType="end"/>
            </w:r>
          </w:hyperlink>
        </w:p>
        <w:p w14:paraId="78C906D9" w14:textId="77777777" w:rsidR="006A2256" w:rsidRDefault="006A2256">
          <w:pPr>
            <w:pStyle w:val="Innehll2"/>
            <w:rPr>
              <w:rFonts w:asciiTheme="minorHAnsi" w:eastAsiaTheme="minorEastAsia" w:hAnsiTheme="minorHAnsi" w:cstheme="minorBidi"/>
              <w:noProof/>
              <w:color w:val="auto"/>
              <w:lang w:eastAsia="sv-SE"/>
            </w:rPr>
          </w:pPr>
          <w:hyperlink w:anchor="_Toc219980648" w:history="1">
            <w:r w:rsidRPr="00DB1277">
              <w:rPr>
                <w:rStyle w:val="Hyperlnk"/>
                <w:noProof/>
              </w:rPr>
              <w:t>2.4</w:t>
            </w:r>
            <w:r>
              <w:rPr>
                <w:rFonts w:asciiTheme="minorHAnsi" w:eastAsiaTheme="minorEastAsia" w:hAnsiTheme="minorHAnsi" w:cstheme="minorBidi"/>
                <w:noProof/>
                <w:color w:val="auto"/>
                <w:lang w:eastAsia="sv-SE"/>
              </w:rPr>
              <w:tab/>
            </w:r>
            <w:r w:rsidRPr="00DB1277">
              <w:rPr>
                <w:rStyle w:val="Hyperlnk"/>
                <w:noProof/>
              </w:rPr>
              <w:t>Ekonomisk uppföljning</w:t>
            </w:r>
            <w:r>
              <w:rPr>
                <w:noProof/>
                <w:webHidden/>
              </w:rPr>
              <w:tab/>
            </w:r>
            <w:r>
              <w:rPr>
                <w:noProof/>
                <w:webHidden/>
              </w:rPr>
              <w:fldChar w:fldCharType="begin"/>
            </w:r>
            <w:r>
              <w:rPr>
                <w:noProof/>
                <w:webHidden/>
              </w:rPr>
              <w:instrText xml:space="preserve"> PAGEREF _Toc219980648 \h </w:instrText>
            </w:r>
            <w:r>
              <w:rPr>
                <w:noProof/>
                <w:webHidden/>
              </w:rPr>
            </w:r>
            <w:r>
              <w:rPr>
                <w:noProof/>
                <w:webHidden/>
              </w:rPr>
              <w:fldChar w:fldCharType="separate"/>
            </w:r>
            <w:r>
              <w:rPr>
                <w:noProof/>
                <w:webHidden/>
              </w:rPr>
              <w:t>10</w:t>
            </w:r>
            <w:r>
              <w:rPr>
                <w:noProof/>
                <w:webHidden/>
              </w:rPr>
              <w:fldChar w:fldCharType="end"/>
            </w:r>
          </w:hyperlink>
        </w:p>
        <w:p w14:paraId="5318A240"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49" w:history="1">
            <w:r w:rsidRPr="00DB1277">
              <w:rPr>
                <w:rStyle w:val="Hyperlnk"/>
                <w:noProof/>
              </w:rPr>
              <w:t>2.4.1</w:t>
            </w:r>
            <w:r>
              <w:rPr>
                <w:rFonts w:asciiTheme="minorHAnsi" w:eastAsiaTheme="minorEastAsia" w:hAnsiTheme="minorHAnsi" w:cstheme="minorBidi"/>
                <w:noProof/>
                <w:color w:val="auto"/>
                <w:lang w:eastAsia="sv-SE"/>
              </w:rPr>
              <w:tab/>
            </w:r>
            <w:r w:rsidRPr="00DB1277">
              <w:rPr>
                <w:rStyle w:val="Hyperlnk"/>
                <w:noProof/>
              </w:rPr>
              <w:t>Analys av årets utfall - Styrelse</w:t>
            </w:r>
            <w:r>
              <w:rPr>
                <w:noProof/>
                <w:webHidden/>
              </w:rPr>
              <w:tab/>
            </w:r>
            <w:r>
              <w:rPr>
                <w:noProof/>
                <w:webHidden/>
              </w:rPr>
              <w:fldChar w:fldCharType="begin"/>
            </w:r>
            <w:r>
              <w:rPr>
                <w:noProof/>
                <w:webHidden/>
              </w:rPr>
              <w:instrText xml:space="preserve"> PAGEREF _Toc219980649 \h </w:instrText>
            </w:r>
            <w:r>
              <w:rPr>
                <w:noProof/>
                <w:webHidden/>
              </w:rPr>
            </w:r>
            <w:r>
              <w:rPr>
                <w:noProof/>
                <w:webHidden/>
              </w:rPr>
              <w:fldChar w:fldCharType="separate"/>
            </w:r>
            <w:r>
              <w:rPr>
                <w:noProof/>
                <w:webHidden/>
              </w:rPr>
              <w:t>10</w:t>
            </w:r>
            <w:r>
              <w:rPr>
                <w:noProof/>
                <w:webHidden/>
              </w:rPr>
              <w:fldChar w:fldCharType="end"/>
            </w:r>
          </w:hyperlink>
        </w:p>
        <w:p w14:paraId="73154EFC"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50" w:history="1">
            <w:r w:rsidRPr="00DB1277">
              <w:rPr>
                <w:rStyle w:val="Hyperlnk"/>
                <w:noProof/>
              </w:rPr>
              <w:t>2.4.2</w:t>
            </w:r>
            <w:r>
              <w:rPr>
                <w:rFonts w:asciiTheme="minorHAnsi" w:eastAsiaTheme="minorEastAsia" w:hAnsiTheme="minorHAnsi" w:cstheme="minorBidi"/>
                <w:noProof/>
                <w:color w:val="auto"/>
                <w:lang w:eastAsia="sv-SE"/>
              </w:rPr>
              <w:tab/>
            </w:r>
            <w:r w:rsidRPr="00DB1277">
              <w:rPr>
                <w:rStyle w:val="Hyperlnk"/>
                <w:noProof/>
              </w:rPr>
              <w:t>Resultat per affärsområde/dotterbolag eller motsvarande</w:t>
            </w:r>
            <w:r>
              <w:rPr>
                <w:noProof/>
                <w:webHidden/>
              </w:rPr>
              <w:tab/>
            </w:r>
            <w:r>
              <w:rPr>
                <w:noProof/>
                <w:webHidden/>
              </w:rPr>
              <w:fldChar w:fldCharType="begin"/>
            </w:r>
            <w:r>
              <w:rPr>
                <w:noProof/>
                <w:webHidden/>
              </w:rPr>
              <w:instrText xml:space="preserve"> PAGEREF _Toc219980650 \h </w:instrText>
            </w:r>
            <w:r>
              <w:rPr>
                <w:noProof/>
                <w:webHidden/>
              </w:rPr>
            </w:r>
            <w:r>
              <w:rPr>
                <w:noProof/>
                <w:webHidden/>
              </w:rPr>
              <w:fldChar w:fldCharType="separate"/>
            </w:r>
            <w:r>
              <w:rPr>
                <w:noProof/>
                <w:webHidden/>
              </w:rPr>
              <w:t>12</w:t>
            </w:r>
            <w:r>
              <w:rPr>
                <w:noProof/>
                <w:webHidden/>
              </w:rPr>
              <w:fldChar w:fldCharType="end"/>
            </w:r>
          </w:hyperlink>
        </w:p>
        <w:p w14:paraId="1383FC4E"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51" w:history="1">
            <w:r w:rsidRPr="00DB1277">
              <w:rPr>
                <w:rStyle w:val="Hyperlnk"/>
                <w:noProof/>
              </w:rPr>
              <w:t>2.4.3</w:t>
            </w:r>
            <w:r>
              <w:rPr>
                <w:rFonts w:asciiTheme="minorHAnsi" w:eastAsiaTheme="minorEastAsia" w:hAnsiTheme="minorHAnsi" w:cstheme="minorBidi"/>
                <w:noProof/>
                <w:color w:val="auto"/>
                <w:lang w:eastAsia="sv-SE"/>
              </w:rPr>
              <w:tab/>
            </w:r>
            <w:r w:rsidRPr="00DB1277">
              <w:rPr>
                <w:rStyle w:val="Hyperlnk"/>
                <w:noProof/>
              </w:rPr>
              <w:t>Investeringsredovisning</w:t>
            </w:r>
            <w:r>
              <w:rPr>
                <w:noProof/>
                <w:webHidden/>
              </w:rPr>
              <w:tab/>
            </w:r>
            <w:r>
              <w:rPr>
                <w:noProof/>
                <w:webHidden/>
              </w:rPr>
              <w:fldChar w:fldCharType="begin"/>
            </w:r>
            <w:r>
              <w:rPr>
                <w:noProof/>
                <w:webHidden/>
              </w:rPr>
              <w:instrText xml:space="preserve"> PAGEREF _Toc219980651 \h </w:instrText>
            </w:r>
            <w:r>
              <w:rPr>
                <w:noProof/>
                <w:webHidden/>
              </w:rPr>
            </w:r>
            <w:r>
              <w:rPr>
                <w:noProof/>
                <w:webHidden/>
              </w:rPr>
              <w:fldChar w:fldCharType="separate"/>
            </w:r>
            <w:r>
              <w:rPr>
                <w:noProof/>
                <w:webHidden/>
              </w:rPr>
              <w:t>12</w:t>
            </w:r>
            <w:r>
              <w:rPr>
                <w:noProof/>
                <w:webHidden/>
              </w:rPr>
              <w:fldChar w:fldCharType="end"/>
            </w:r>
          </w:hyperlink>
        </w:p>
        <w:p w14:paraId="4972FF66"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52" w:history="1">
            <w:r w:rsidRPr="00DB1277">
              <w:rPr>
                <w:rStyle w:val="Hyperlnk"/>
                <w:noProof/>
              </w:rPr>
              <w:t>2.4.4</w:t>
            </w:r>
            <w:r>
              <w:rPr>
                <w:rFonts w:asciiTheme="minorHAnsi" w:eastAsiaTheme="minorEastAsia" w:hAnsiTheme="minorHAnsi" w:cstheme="minorBidi"/>
                <w:noProof/>
                <w:color w:val="auto"/>
                <w:lang w:eastAsia="sv-SE"/>
              </w:rPr>
              <w:tab/>
            </w:r>
            <w:r w:rsidRPr="00DB1277">
              <w:rPr>
                <w:rStyle w:val="Hyperlnk"/>
                <w:noProof/>
              </w:rPr>
              <w:t>Bokslut bolag</w:t>
            </w:r>
            <w:r>
              <w:rPr>
                <w:noProof/>
                <w:webHidden/>
              </w:rPr>
              <w:tab/>
            </w:r>
            <w:r>
              <w:rPr>
                <w:noProof/>
                <w:webHidden/>
              </w:rPr>
              <w:fldChar w:fldCharType="begin"/>
            </w:r>
            <w:r>
              <w:rPr>
                <w:noProof/>
                <w:webHidden/>
              </w:rPr>
              <w:instrText xml:space="preserve"> PAGEREF _Toc219980652 \h </w:instrText>
            </w:r>
            <w:r>
              <w:rPr>
                <w:noProof/>
                <w:webHidden/>
              </w:rPr>
            </w:r>
            <w:r>
              <w:rPr>
                <w:noProof/>
                <w:webHidden/>
              </w:rPr>
              <w:fldChar w:fldCharType="separate"/>
            </w:r>
            <w:r>
              <w:rPr>
                <w:noProof/>
                <w:webHidden/>
              </w:rPr>
              <w:t>13</w:t>
            </w:r>
            <w:r>
              <w:rPr>
                <w:noProof/>
                <w:webHidden/>
              </w:rPr>
              <w:fldChar w:fldCharType="end"/>
            </w:r>
          </w:hyperlink>
        </w:p>
        <w:p w14:paraId="5BBCB555"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53" w:history="1">
            <w:r w:rsidRPr="00DB1277">
              <w:rPr>
                <w:rStyle w:val="Hyperlnk"/>
                <w:noProof/>
              </w:rPr>
              <w:t>2.4.5</w:t>
            </w:r>
            <w:r>
              <w:rPr>
                <w:rFonts w:asciiTheme="minorHAnsi" w:eastAsiaTheme="minorEastAsia" w:hAnsiTheme="minorHAnsi" w:cstheme="minorBidi"/>
                <w:noProof/>
                <w:color w:val="auto"/>
                <w:lang w:eastAsia="sv-SE"/>
              </w:rPr>
              <w:tab/>
            </w:r>
            <w:r w:rsidRPr="00DB1277">
              <w:rPr>
                <w:rStyle w:val="Hyperlnk"/>
                <w:noProof/>
              </w:rPr>
              <w:t>Lån och lånetak för bolag</w:t>
            </w:r>
            <w:r>
              <w:rPr>
                <w:noProof/>
                <w:webHidden/>
              </w:rPr>
              <w:tab/>
            </w:r>
            <w:r>
              <w:rPr>
                <w:noProof/>
                <w:webHidden/>
              </w:rPr>
              <w:fldChar w:fldCharType="begin"/>
            </w:r>
            <w:r>
              <w:rPr>
                <w:noProof/>
                <w:webHidden/>
              </w:rPr>
              <w:instrText xml:space="preserve"> PAGEREF _Toc219980653 \h </w:instrText>
            </w:r>
            <w:r>
              <w:rPr>
                <w:noProof/>
                <w:webHidden/>
              </w:rPr>
            </w:r>
            <w:r>
              <w:rPr>
                <w:noProof/>
                <w:webHidden/>
              </w:rPr>
              <w:fldChar w:fldCharType="separate"/>
            </w:r>
            <w:r>
              <w:rPr>
                <w:noProof/>
                <w:webHidden/>
              </w:rPr>
              <w:t>14</w:t>
            </w:r>
            <w:r>
              <w:rPr>
                <w:noProof/>
                <w:webHidden/>
              </w:rPr>
              <w:fldChar w:fldCharType="end"/>
            </w:r>
          </w:hyperlink>
        </w:p>
        <w:p w14:paraId="71857071" w14:textId="77777777" w:rsidR="006A2256" w:rsidRDefault="006A2256">
          <w:pPr>
            <w:pStyle w:val="Innehll1"/>
            <w:rPr>
              <w:rFonts w:asciiTheme="minorHAnsi" w:hAnsiTheme="minorHAnsi"/>
              <w:b w:val="0"/>
              <w:bCs w:val="0"/>
              <w:noProof/>
              <w:color w:val="auto"/>
              <w:lang w:eastAsia="sv-SE"/>
            </w:rPr>
          </w:pPr>
          <w:hyperlink w:anchor="_Toc219980654" w:history="1">
            <w:r w:rsidRPr="00DB1277">
              <w:rPr>
                <w:rStyle w:val="Hyperlnk"/>
                <w:noProof/>
              </w:rPr>
              <w:t>3</w:t>
            </w:r>
            <w:r>
              <w:rPr>
                <w:rFonts w:asciiTheme="minorHAnsi" w:hAnsiTheme="minorHAnsi"/>
                <w:b w:val="0"/>
                <w:bCs w:val="0"/>
                <w:noProof/>
                <w:color w:val="auto"/>
                <w:lang w:eastAsia="sv-SE"/>
              </w:rPr>
              <w:tab/>
            </w:r>
            <w:r w:rsidRPr="00DB1277">
              <w:rPr>
                <w:rStyle w:val="Hyperlnk"/>
                <w:noProof/>
              </w:rPr>
              <w:t>Övrig uppföljning till kommunledningen</w:t>
            </w:r>
            <w:r>
              <w:rPr>
                <w:noProof/>
                <w:webHidden/>
              </w:rPr>
              <w:tab/>
            </w:r>
            <w:r>
              <w:rPr>
                <w:noProof/>
                <w:webHidden/>
              </w:rPr>
              <w:fldChar w:fldCharType="begin"/>
            </w:r>
            <w:r>
              <w:rPr>
                <w:noProof/>
                <w:webHidden/>
              </w:rPr>
              <w:instrText xml:space="preserve"> PAGEREF _Toc219980654 \h </w:instrText>
            </w:r>
            <w:r>
              <w:rPr>
                <w:noProof/>
                <w:webHidden/>
              </w:rPr>
            </w:r>
            <w:r>
              <w:rPr>
                <w:noProof/>
                <w:webHidden/>
              </w:rPr>
              <w:fldChar w:fldCharType="separate"/>
            </w:r>
            <w:r>
              <w:rPr>
                <w:noProof/>
                <w:webHidden/>
              </w:rPr>
              <w:t>15</w:t>
            </w:r>
            <w:r>
              <w:rPr>
                <w:noProof/>
                <w:webHidden/>
              </w:rPr>
              <w:fldChar w:fldCharType="end"/>
            </w:r>
          </w:hyperlink>
        </w:p>
        <w:p w14:paraId="273794D7" w14:textId="77777777" w:rsidR="006A2256" w:rsidRDefault="006A2256">
          <w:pPr>
            <w:pStyle w:val="Innehll2"/>
            <w:rPr>
              <w:rFonts w:asciiTheme="minorHAnsi" w:eastAsiaTheme="minorEastAsia" w:hAnsiTheme="minorHAnsi" w:cstheme="minorBidi"/>
              <w:noProof/>
              <w:color w:val="auto"/>
              <w:lang w:eastAsia="sv-SE"/>
            </w:rPr>
          </w:pPr>
          <w:hyperlink w:anchor="_Toc219980655" w:history="1">
            <w:r w:rsidRPr="00DB1277">
              <w:rPr>
                <w:rStyle w:val="Hyperlnk"/>
                <w:noProof/>
              </w:rPr>
              <w:t>3.1</w:t>
            </w:r>
            <w:r>
              <w:rPr>
                <w:rFonts w:asciiTheme="minorHAnsi" w:eastAsiaTheme="minorEastAsia" w:hAnsiTheme="minorHAnsi" w:cstheme="minorBidi"/>
                <w:noProof/>
                <w:color w:val="auto"/>
                <w:lang w:eastAsia="sv-SE"/>
              </w:rPr>
              <w:tab/>
            </w:r>
            <w:r w:rsidRPr="00DB1277">
              <w:rPr>
                <w:rStyle w:val="Hyperlnk"/>
                <w:noProof/>
              </w:rPr>
              <w:t>Kommunalt ändamål och befogenheter</w:t>
            </w:r>
            <w:r>
              <w:rPr>
                <w:noProof/>
                <w:webHidden/>
              </w:rPr>
              <w:tab/>
            </w:r>
            <w:r>
              <w:rPr>
                <w:noProof/>
                <w:webHidden/>
              </w:rPr>
              <w:fldChar w:fldCharType="begin"/>
            </w:r>
            <w:r>
              <w:rPr>
                <w:noProof/>
                <w:webHidden/>
              </w:rPr>
              <w:instrText xml:space="preserve"> PAGEREF _Toc219980655 \h </w:instrText>
            </w:r>
            <w:r>
              <w:rPr>
                <w:noProof/>
                <w:webHidden/>
              </w:rPr>
            </w:r>
            <w:r>
              <w:rPr>
                <w:noProof/>
                <w:webHidden/>
              </w:rPr>
              <w:fldChar w:fldCharType="separate"/>
            </w:r>
            <w:r>
              <w:rPr>
                <w:noProof/>
                <w:webHidden/>
              </w:rPr>
              <w:t>15</w:t>
            </w:r>
            <w:r>
              <w:rPr>
                <w:noProof/>
                <w:webHidden/>
              </w:rPr>
              <w:fldChar w:fldCharType="end"/>
            </w:r>
          </w:hyperlink>
        </w:p>
        <w:p w14:paraId="1A55C444" w14:textId="77777777" w:rsidR="006A2256" w:rsidRDefault="006A2256">
          <w:pPr>
            <w:pStyle w:val="Innehll2"/>
            <w:rPr>
              <w:rFonts w:asciiTheme="minorHAnsi" w:eastAsiaTheme="minorEastAsia" w:hAnsiTheme="minorHAnsi" w:cstheme="minorBidi"/>
              <w:noProof/>
              <w:color w:val="auto"/>
              <w:lang w:eastAsia="sv-SE"/>
            </w:rPr>
          </w:pPr>
          <w:hyperlink w:anchor="_Toc219980656" w:history="1">
            <w:r w:rsidRPr="00DB1277">
              <w:rPr>
                <w:rStyle w:val="Hyperlnk"/>
                <w:noProof/>
              </w:rPr>
              <w:t>3.2</w:t>
            </w:r>
            <w:r>
              <w:rPr>
                <w:rFonts w:asciiTheme="minorHAnsi" w:eastAsiaTheme="minorEastAsia" w:hAnsiTheme="minorHAnsi" w:cstheme="minorBidi"/>
                <w:noProof/>
                <w:color w:val="auto"/>
                <w:lang w:eastAsia="sv-SE"/>
              </w:rPr>
              <w:tab/>
            </w:r>
            <w:r w:rsidRPr="00DB1277">
              <w:rPr>
                <w:rStyle w:val="Hyperlnk"/>
                <w:noProof/>
              </w:rPr>
              <w:t>Utvärdering av system för styrning, uppföljning och kontroll</w:t>
            </w:r>
            <w:r>
              <w:rPr>
                <w:noProof/>
                <w:webHidden/>
              </w:rPr>
              <w:tab/>
            </w:r>
            <w:r>
              <w:rPr>
                <w:noProof/>
                <w:webHidden/>
              </w:rPr>
              <w:fldChar w:fldCharType="begin"/>
            </w:r>
            <w:r>
              <w:rPr>
                <w:noProof/>
                <w:webHidden/>
              </w:rPr>
              <w:instrText xml:space="preserve"> PAGEREF _Toc219980656 \h </w:instrText>
            </w:r>
            <w:r>
              <w:rPr>
                <w:noProof/>
                <w:webHidden/>
              </w:rPr>
            </w:r>
            <w:r>
              <w:rPr>
                <w:noProof/>
                <w:webHidden/>
              </w:rPr>
              <w:fldChar w:fldCharType="separate"/>
            </w:r>
            <w:r>
              <w:rPr>
                <w:noProof/>
                <w:webHidden/>
              </w:rPr>
              <w:t>15</w:t>
            </w:r>
            <w:r>
              <w:rPr>
                <w:noProof/>
                <w:webHidden/>
              </w:rPr>
              <w:fldChar w:fldCharType="end"/>
            </w:r>
          </w:hyperlink>
        </w:p>
        <w:p w14:paraId="6757151B"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57" w:history="1">
            <w:r w:rsidRPr="00DB1277">
              <w:rPr>
                <w:rStyle w:val="Hyperlnk"/>
                <w:noProof/>
              </w:rPr>
              <w:t>3.2.1</w:t>
            </w:r>
            <w:r>
              <w:rPr>
                <w:rFonts w:asciiTheme="minorHAnsi" w:eastAsiaTheme="minorEastAsia" w:hAnsiTheme="minorHAnsi" w:cstheme="minorBidi"/>
                <w:noProof/>
                <w:color w:val="auto"/>
                <w:lang w:eastAsia="sv-SE"/>
              </w:rPr>
              <w:tab/>
            </w:r>
            <w:r w:rsidRPr="00DB1277">
              <w:rPr>
                <w:rStyle w:val="Hyperlnk"/>
                <w:noProof/>
              </w:rPr>
              <w:t>Kort ingress</w:t>
            </w:r>
            <w:r>
              <w:rPr>
                <w:noProof/>
                <w:webHidden/>
              </w:rPr>
              <w:tab/>
            </w:r>
            <w:r>
              <w:rPr>
                <w:noProof/>
                <w:webHidden/>
              </w:rPr>
              <w:fldChar w:fldCharType="begin"/>
            </w:r>
            <w:r>
              <w:rPr>
                <w:noProof/>
                <w:webHidden/>
              </w:rPr>
              <w:instrText xml:space="preserve"> PAGEREF _Toc219980657 \h </w:instrText>
            </w:r>
            <w:r>
              <w:rPr>
                <w:noProof/>
                <w:webHidden/>
              </w:rPr>
            </w:r>
            <w:r>
              <w:rPr>
                <w:noProof/>
                <w:webHidden/>
              </w:rPr>
              <w:fldChar w:fldCharType="separate"/>
            </w:r>
            <w:r>
              <w:rPr>
                <w:noProof/>
                <w:webHidden/>
              </w:rPr>
              <w:t>15</w:t>
            </w:r>
            <w:r>
              <w:rPr>
                <w:noProof/>
                <w:webHidden/>
              </w:rPr>
              <w:fldChar w:fldCharType="end"/>
            </w:r>
          </w:hyperlink>
        </w:p>
        <w:p w14:paraId="12D193B0" w14:textId="77777777" w:rsidR="006A2256" w:rsidRDefault="006A2256">
          <w:pPr>
            <w:pStyle w:val="Innehll3"/>
            <w:tabs>
              <w:tab w:val="left" w:pos="1560"/>
            </w:tabs>
            <w:rPr>
              <w:rFonts w:asciiTheme="minorHAnsi" w:eastAsiaTheme="minorEastAsia" w:hAnsiTheme="minorHAnsi" w:cstheme="minorBidi"/>
              <w:noProof/>
              <w:color w:val="auto"/>
              <w:lang w:eastAsia="sv-SE"/>
            </w:rPr>
          </w:pPr>
          <w:hyperlink w:anchor="_Toc219980658" w:history="1">
            <w:r w:rsidRPr="00DB1277">
              <w:rPr>
                <w:rStyle w:val="Hyperlnk"/>
                <w:noProof/>
              </w:rPr>
              <w:t>3.2.2</w:t>
            </w:r>
            <w:r>
              <w:rPr>
                <w:rFonts w:asciiTheme="minorHAnsi" w:eastAsiaTheme="minorEastAsia" w:hAnsiTheme="minorHAnsi" w:cstheme="minorBidi"/>
                <w:noProof/>
                <w:color w:val="auto"/>
                <w:lang w:eastAsia="sv-SE"/>
              </w:rPr>
              <w:tab/>
            </w:r>
            <w:r w:rsidRPr="00DB1277">
              <w:rPr>
                <w:rStyle w:val="Hyperlnk"/>
                <w:noProof/>
              </w:rPr>
              <w:t>Uppföljningsfråga</w:t>
            </w:r>
            <w:r>
              <w:rPr>
                <w:noProof/>
                <w:webHidden/>
              </w:rPr>
              <w:tab/>
            </w:r>
            <w:r>
              <w:rPr>
                <w:noProof/>
                <w:webHidden/>
              </w:rPr>
              <w:fldChar w:fldCharType="begin"/>
            </w:r>
            <w:r>
              <w:rPr>
                <w:noProof/>
                <w:webHidden/>
              </w:rPr>
              <w:instrText xml:space="preserve"> PAGEREF _Toc219980658 \h </w:instrText>
            </w:r>
            <w:r>
              <w:rPr>
                <w:noProof/>
                <w:webHidden/>
              </w:rPr>
            </w:r>
            <w:r>
              <w:rPr>
                <w:noProof/>
                <w:webHidden/>
              </w:rPr>
              <w:fldChar w:fldCharType="separate"/>
            </w:r>
            <w:r>
              <w:rPr>
                <w:noProof/>
                <w:webHidden/>
              </w:rPr>
              <w:t>15</w:t>
            </w:r>
            <w:r>
              <w:rPr>
                <w:noProof/>
                <w:webHidden/>
              </w:rPr>
              <w:fldChar w:fldCharType="end"/>
            </w:r>
          </w:hyperlink>
        </w:p>
        <w:p w14:paraId="0D1B897A" w14:textId="77777777" w:rsidR="006A2256" w:rsidRDefault="006A2256">
          <w:pPr>
            <w:pStyle w:val="Innehll2"/>
            <w:rPr>
              <w:rFonts w:asciiTheme="minorHAnsi" w:eastAsiaTheme="minorEastAsia" w:hAnsiTheme="minorHAnsi" w:cstheme="minorBidi"/>
              <w:noProof/>
              <w:color w:val="auto"/>
              <w:lang w:eastAsia="sv-SE"/>
            </w:rPr>
          </w:pPr>
          <w:hyperlink w:anchor="_Toc219980659" w:history="1">
            <w:r w:rsidRPr="00DB1277">
              <w:rPr>
                <w:rStyle w:val="Hyperlnk"/>
                <w:noProof/>
              </w:rPr>
              <w:t>3.3</w:t>
            </w:r>
            <w:r>
              <w:rPr>
                <w:rFonts w:asciiTheme="minorHAnsi" w:eastAsiaTheme="minorEastAsia" w:hAnsiTheme="minorHAnsi" w:cstheme="minorBidi"/>
                <w:noProof/>
                <w:color w:val="auto"/>
                <w:lang w:eastAsia="sv-SE"/>
              </w:rPr>
              <w:tab/>
            </w:r>
            <w:r w:rsidRPr="00DB1277">
              <w:rPr>
                <w:rStyle w:val="Hyperlnk"/>
                <w:noProof/>
              </w:rPr>
              <w:t>Övriga beslut och/eller uppdrag</w:t>
            </w:r>
            <w:r>
              <w:rPr>
                <w:noProof/>
                <w:webHidden/>
              </w:rPr>
              <w:tab/>
            </w:r>
            <w:r>
              <w:rPr>
                <w:noProof/>
                <w:webHidden/>
              </w:rPr>
              <w:fldChar w:fldCharType="begin"/>
            </w:r>
            <w:r>
              <w:rPr>
                <w:noProof/>
                <w:webHidden/>
              </w:rPr>
              <w:instrText xml:space="preserve"> PAGEREF _Toc219980659 \h </w:instrText>
            </w:r>
            <w:r>
              <w:rPr>
                <w:noProof/>
                <w:webHidden/>
              </w:rPr>
            </w:r>
            <w:r>
              <w:rPr>
                <w:noProof/>
                <w:webHidden/>
              </w:rPr>
              <w:fldChar w:fldCharType="separate"/>
            </w:r>
            <w:r>
              <w:rPr>
                <w:noProof/>
                <w:webHidden/>
              </w:rPr>
              <w:t>17</w:t>
            </w:r>
            <w:r>
              <w:rPr>
                <w:noProof/>
                <w:webHidden/>
              </w:rPr>
              <w:fldChar w:fldCharType="end"/>
            </w:r>
          </w:hyperlink>
        </w:p>
        <w:p w14:paraId="7475CC2F" w14:textId="77777777" w:rsidR="006A2256" w:rsidRDefault="006A2256">
          <w:pPr>
            <w:pStyle w:val="Innehll1"/>
            <w:rPr>
              <w:rFonts w:asciiTheme="minorHAnsi" w:hAnsiTheme="minorHAnsi"/>
              <w:b w:val="0"/>
              <w:bCs w:val="0"/>
              <w:noProof/>
              <w:color w:val="auto"/>
              <w:lang w:eastAsia="sv-SE"/>
            </w:rPr>
          </w:pPr>
          <w:hyperlink w:anchor="_Toc219980660" w:history="1">
            <w:r w:rsidRPr="00DB1277">
              <w:rPr>
                <w:rStyle w:val="Hyperlnk"/>
                <w:noProof/>
              </w:rPr>
              <w:t>4</w:t>
            </w:r>
            <w:r>
              <w:rPr>
                <w:rFonts w:asciiTheme="minorHAnsi" w:hAnsiTheme="minorHAnsi"/>
                <w:b w:val="0"/>
                <w:bCs w:val="0"/>
                <w:noProof/>
                <w:color w:val="auto"/>
                <w:lang w:eastAsia="sv-SE"/>
              </w:rPr>
              <w:tab/>
            </w:r>
            <w:r w:rsidRPr="00DB1277">
              <w:rPr>
                <w:rStyle w:val="Hyperlnk"/>
                <w:noProof/>
              </w:rPr>
              <w:t>Styrinformation till styrelsen</w:t>
            </w:r>
            <w:r>
              <w:rPr>
                <w:noProof/>
                <w:webHidden/>
              </w:rPr>
              <w:tab/>
            </w:r>
            <w:r>
              <w:rPr>
                <w:noProof/>
                <w:webHidden/>
              </w:rPr>
              <w:fldChar w:fldCharType="begin"/>
            </w:r>
            <w:r>
              <w:rPr>
                <w:noProof/>
                <w:webHidden/>
              </w:rPr>
              <w:instrText xml:space="preserve"> PAGEREF _Toc219980660 \h </w:instrText>
            </w:r>
            <w:r>
              <w:rPr>
                <w:noProof/>
                <w:webHidden/>
              </w:rPr>
            </w:r>
            <w:r>
              <w:rPr>
                <w:noProof/>
                <w:webHidden/>
              </w:rPr>
              <w:fldChar w:fldCharType="separate"/>
            </w:r>
            <w:r>
              <w:rPr>
                <w:noProof/>
                <w:webHidden/>
              </w:rPr>
              <w:t>19</w:t>
            </w:r>
            <w:r>
              <w:rPr>
                <w:noProof/>
                <w:webHidden/>
              </w:rPr>
              <w:fldChar w:fldCharType="end"/>
            </w:r>
          </w:hyperlink>
        </w:p>
        <w:p w14:paraId="6627101F" w14:textId="77777777" w:rsidR="006A2256" w:rsidRDefault="006A2256">
          <w:pPr>
            <w:pStyle w:val="Innehll1"/>
            <w:rPr>
              <w:rFonts w:asciiTheme="minorHAnsi" w:hAnsiTheme="minorHAnsi"/>
              <w:b w:val="0"/>
              <w:bCs w:val="0"/>
              <w:noProof/>
              <w:color w:val="auto"/>
              <w:lang w:eastAsia="sv-SE"/>
            </w:rPr>
          </w:pPr>
          <w:hyperlink w:anchor="_Toc219980661" w:history="1">
            <w:r w:rsidRPr="00DB1277">
              <w:rPr>
                <w:rStyle w:val="Hyperlnk"/>
                <w:noProof/>
              </w:rPr>
              <w:t>5</w:t>
            </w:r>
            <w:r>
              <w:rPr>
                <w:rFonts w:asciiTheme="minorHAnsi" w:hAnsiTheme="minorHAnsi"/>
                <w:b w:val="0"/>
                <w:bCs w:val="0"/>
                <w:noProof/>
                <w:color w:val="auto"/>
                <w:lang w:eastAsia="sv-SE"/>
              </w:rPr>
              <w:tab/>
            </w:r>
            <w:r w:rsidRPr="00DB1277">
              <w:rPr>
                <w:rStyle w:val="Hyperlnk"/>
                <w:noProof/>
              </w:rPr>
              <w:t>Redovisning av nämndens och styrelsens uppdrag</w:t>
            </w:r>
            <w:r>
              <w:rPr>
                <w:noProof/>
                <w:webHidden/>
              </w:rPr>
              <w:tab/>
            </w:r>
            <w:r>
              <w:rPr>
                <w:noProof/>
                <w:webHidden/>
              </w:rPr>
              <w:fldChar w:fldCharType="begin"/>
            </w:r>
            <w:r>
              <w:rPr>
                <w:noProof/>
                <w:webHidden/>
              </w:rPr>
              <w:instrText xml:space="preserve"> PAGEREF _Toc219980661 \h </w:instrText>
            </w:r>
            <w:r>
              <w:rPr>
                <w:noProof/>
                <w:webHidden/>
              </w:rPr>
            </w:r>
            <w:r>
              <w:rPr>
                <w:noProof/>
                <w:webHidden/>
              </w:rPr>
              <w:fldChar w:fldCharType="separate"/>
            </w:r>
            <w:r>
              <w:rPr>
                <w:noProof/>
                <w:webHidden/>
              </w:rPr>
              <w:t>20</w:t>
            </w:r>
            <w:r>
              <w:rPr>
                <w:noProof/>
                <w:webHidden/>
              </w:rPr>
              <w:fldChar w:fldCharType="end"/>
            </w:r>
          </w:hyperlink>
        </w:p>
        <w:p w14:paraId="03A26895" w14:textId="77777777" w:rsidR="006A2256" w:rsidRDefault="006A2256">
          <w:pPr>
            <w:pStyle w:val="Innehll2"/>
            <w:rPr>
              <w:rFonts w:asciiTheme="minorHAnsi" w:eastAsiaTheme="minorEastAsia" w:hAnsiTheme="minorHAnsi" w:cstheme="minorBidi"/>
              <w:noProof/>
              <w:color w:val="auto"/>
              <w:lang w:eastAsia="sv-SE"/>
            </w:rPr>
          </w:pPr>
          <w:hyperlink w:anchor="_Toc219980662" w:history="1">
            <w:r w:rsidRPr="00DB1277">
              <w:rPr>
                <w:rStyle w:val="Hyperlnk"/>
                <w:noProof/>
              </w:rPr>
              <w:t>5.1</w:t>
            </w:r>
            <w:r>
              <w:rPr>
                <w:rFonts w:asciiTheme="minorHAnsi" w:eastAsiaTheme="minorEastAsia" w:hAnsiTheme="minorHAnsi" w:cstheme="minorBidi"/>
                <w:noProof/>
                <w:color w:val="auto"/>
                <w:lang w:eastAsia="sv-SE"/>
              </w:rPr>
              <w:tab/>
            </w:r>
            <w:r w:rsidRPr="00DB1277">
              <w:rPr>
                <w:rStyle w:val="Hyperlnk"/>
                <w:noProof/>
              </w:rPr>
              <w:t>Redovisning av uppdrag från Kommunfullmäktige och Kommunstyrelsen i och utanför budget (begränsad kommentar)</w:t>
            </w:r>
            <w:r>
              <w:rPr>
                <w:noProof/>
                <w:webHidden/>
              </w:rPr>
              <w:tab/>
            </w:r>
            <w:r>
              <w:rPr>
                <w:noProof/>
                <w:webHidden/>
              </w:rPr>
              <w:fldChar w:fldCharType="begin"/>
            </w:r>
            <w:r>
              <w:rPr>
                <w:noProof/>
                <w:webHidden/>
              </w:rPr>
              <w:instrText xml:space="preserve"> PAGEREF _Toc219980662 \h </w:instrText>
            </w:r>
            <w:r>
              <w:rPr>
                <w:noProof/>
                <w:webHidden/>
              </w:rPr>
            </w:r>
            <w:r>
              <w:rPr>
                <w:noProof/>
                <w:webHidden/>
              </w:rPr>
              <w:fldChar w:fldCharType="separate"/>
            </w:r>
            <w:r>
              <w:rPr>
                <w:noProof/>
                <w:webHidden/>
              </w:rPr>
              <w:t>20</w:t>
            </w:r>
            <w:r>
              <w:rPr>
                <w:noProof/>
                <w:webHidden/>
              </w:rPr>
              <w:fldChar w:fldCharType="end"/>
            </w:r>
          </w:hyperlink>
        </w:p>
        <w:p w14:paraId="0892BE26" w14:textId="77777777" w:rsidR="006A2256" w:rsidRDefault="006A2256">
          <w:pPr>
            <w:pStyle w:val="Innehll2"/>
            <w:rPr>
              <w:rFonts w:asciiTheme="minorHAnsi" w:eastAsiaTheme="minorEastAsia" w:hAnsiTheme="minorHAnsi" w:cstheme="minorBidi"/>
              <w:noProof/>
              <w:color w:val="auto"/>
              <w:lang w:eastAsia="sv-SE"/>
            </w:rPr>
          </w:pPr>
          <w:hyperlink w:anchor="_Toc219980663" w:history="1">
            <w:r w:rsidRPr="00DB1277">
              <w:rPr>
                <w:rStyle w:val="Hyperlnk"/>
                <w:noProof/>
              </w:rPr>
              <w:t>5.2</w:t>
            </w:r>
            <w:r>
              <w:rPr>
                <w:rFonts w:asciiTheme="minorHAnsi" w:eastAsiaTheme="minorEastAsia" w:hAnsiTheme="minorHAnsi" w:cstheme="minorBidi"/>
                <w:noProof/>
                <w:color w:val="auto"/>
                <w:lang w:eastAsia="sv-SE"/>
              </w:rPr>
              <w:tab/>
            </w:r>
            <w:r w:rsidRPr="00DB1277">
              <w:rPr>
                <w:rStyle w:val="Hyperlnk"/>
                <w:noProof/>
              </w:rPr>
              <w:t>Redovisning av uppdrag från Kommunfullmäktige och Kommunstyrelsen i och utanför budget (obegränsad kommentar)</w:t>
            </w:r>
            <w:r>
              <w:rPr>
                <w:noProof/>
                <w:webHidden/>
              </w:rPr>
              <w:tab/>
            </w:r>
            <w:r>
              <w:rPr>
                <w:noProof/>
                <w:webHidden/>
              </w:rPr>
              <w:fldChar w:fldCharType="begin"/>
            </w:r>
            <w:r>
              <w:rPr>
                <w:noProof/>
                <w:webHidden/>
              </w:rPr>
              <w:instrText xml:space="preserve"> PAGEREF _Toc219980663 \h </w:instrText>
            </w:r>
            <w:r>
              <w:rPr>
                <w:noProof/>
                <w:webHidden/>
              </w:rPr>
            </w:r>
            <w:r>
              <w:rPr>
                <w:noProof/>
                <w:webHidden/>
              </w:rPr>
              <w:fldChar w:fldCharType="separate"/>
            </w:r>
            <w:r>
              <w:rPr>
                <w:noProof/>
                <w:webHidden/>
              </w:rPr>
              <w:t>21</w:t>
            </w:r>
            <w:r>
              <w:rPr>
                <w:noProof/>
                <w:webHidden/>
              </w:rPr>
              <w:fldChar w:fldCharType="end"/>
            </w:r>
          </w:hyperlink>
        </w:p>
        <w:p w14:paraId="00957D1E" w14:textId="77777777" w:rsidR="006A2256" w:rsidRDefault="006A2256">
          <w:pPr>
            <w:pStyle w:val="Innehll1"/>
            <w:rPr>
              <w:rFonts w:asciiTheme="minorHAnsi" w:hAnsiTheme="minorHAnsi"/>
              <w:b w:val="0"/>
              <w:bCs w:val="0"/>
              <w:noProof/>
              <w:color w:val="auto"/>
              <w:lang w:eastAsia="sv-SE"/>
            </w:rPr>
          </w:pPr>
          <w:hyperlink w:anchor="_Toc219980664" w:history="1">
            <w:r w:rsidRPr="00DB1277">
              <w:rPr>
                <w:rStyle w:val="Hyperlnk"/>
                <w:noProof/>
              </w:rPr>
              <w:t>6</w:t>
            </w:r>
            <w:r>
              <w:rPr>
                <w:rFonts w:asciiTheme="minorHAnsi" w:hAnsiTheme="minorHAnsi"/>
                <w:b w:val="0"/>
                <w:bCs w:val="0"/>
                <w:noProof/>
                <w:color w:val="auto"/>
                <w:lang w:eastAsia="sv-SE"/>
              </w:rPr>
              <w:tab/>
            </w:r>
            <w:r w:rsidRPr="00DB1277">
              <w:rPr>
                <w:rStyle w:val="Hyperlnk"/>
                <w:noProof/>
              </w:rPr>
              <w:t>Uppföljning till Göteborgs Stadshus AB</w:t>
            </w:r>
            <w:r>
              <w:rPr>
                <w:noProof/>
                <w:webHidden/>
              </w:rPr>
              <w:tab/>
            </w:r>
            <w:r>
              <w:rPr>
                <w:noProof/>
                <w:webHidden/>
              </w:rPr>
              <w:fldChar w:fldCharType="begin"/>
            </w:r>
            <w:r>
              <w:rPr>
                <w:noProof/>
                <w:webHidden/>
              </w:rPr>
              <w:instrText xml:space="preserve"> PAGEREF _Toc219980664 \h </w:instrText>
            </w:r>
            <w:r>
              <w:rPr>
                <w:noProof/>
                <w:webHidden/>
              </w:rPr>
            </w:r>
            <w:r>
              <w:rPr>
                <w:noProof/>
                <w:webHidden/>
              </w:rPr>
              <w:fldChar w:fldCharType="separate"/>
            </w:r>
            <w:r>
              <w:rPr>
                <w:noProof/>
                <w:webHidden/>
              </w:rPr>
              <w:t>23</w:t>
            </w:r>
            <w:r>
              <w:rPr>
                <w:noProof/>
                <w:webHidden/>
              </w:rPr>
              <w:fldChar w:fldCharType="end"/>
            </w:r>
          </w:hyperlink>
        </w:p>
        <w:p w14:paraId="01ED9C0D" w14:textId="77777777" w:rsidR="006A2256" w:rsidRDefault="006A2256">
          <w:pPr>
            <w:pStyle w:val="Innehll2"/>
            <w:rPr>
              <w:rFonts w:asciiTheme="minorHAnsi" w:eastAsiaTheme="minorEastAsia" w:hAnsiTheme="minorHAnsi" w:cstheme="minorBidi"/>
              <w:noProof/>
              <w:color w:val="auto"/>
              <w:lang w:eastAsia="sv-SE"/>
            </w:rPr>
          </w:pPr>
          <w:hyperlink w:anchor="_Toc219980665" w:history="1">
            <w:r w:rsidRPr="00DB1277">
              <w:rPr>
                <w:rStyle w:val="Hyperlnk"/>
                <w:noProof/>
              </w:rPr>
              <w:t>6.1</w:t>
            </w:r>
            <w:r>
              <w:rPr>
                <w:rFonts w:asciiTheme="minorHAnsi" w:eastAsiaTheme="minorEastAsia" w:hAnsiTheme="minorHAnsi" w:cstheme="minorBidi"/>
                <w:noProof/>
                <w:color w:val="auto"/>
                <w:lang w:eastAsia="sv-SE"/>
              </w:rPr>
              <w:tab/>
            </w:r>
            <w:r w:rsidRPr="00DB1277">
              <w:rPr>
                <w:rStyle w:val="Hyperlnk"/>
                <w:noProof/>
              </w:rPr>
              <w:t>Uppföljning kassaflöde och realisationsresultat</w:t>
            </w:r>
            <w:r>
              <w:rPr>
                <w:noProof/>
                <w:webHidden/>
              </w:rPr>
              <w:tab/>
            </w:r>
            <w:r>
              <w:rPr>
                <w:noProof/>
                <w:webHidden/>
              </w:rPr>
              <w:fldChar w:fldCharType="begin"/>
            </w:r>
            <w:r>
              <w:rPr>
                <w:noProof/>
                <w:webHidden/>
              </w:rPr>
              <w:instrText xml:space="preserve"> PAGEREF _Toc219980665 \h </w:instrText>
            </w:r>
            <w:r>
              <w:rPr>
                <w:noProof/>
                <w:webHidden/>
              </w:rPr>
            </w:r>
            <w:r>
              <w:rPr>
                <w:noProof/>
                <w:webHidden/>
              </w:rPr>
              <w:fldChar w:fldCharType="separate"/>
            </w:r>
            <w:r>
              <w:rPr>
                <w:noProof/>
                <w:webHidden/>
              </w:rPr>
              <w:t>23</w:t>
            </w:r>
            <w:r>
              <w:rPr>
                <w:noProof/>
                <w:webHidden/>
              </w:rPr>
              <w:fldChar w:fldCharType="end"/>
            </w:r>
          </w:hyperlink>
        </w:p>
        <w:p w14:paraId="13886263" w14:textId="77777777" w:rsidR="00FB29D2" w:rsidRDefault="00BF2ED6">
          <w:r>
            <w:fldChar w:fldCharType="end"/>
          </w:r>
        </w:p>
      </w:sdtContent>
    </w:sdt>
    <w:p w14:paraId="72332FC3" w14:textId="77777777" w:rsidR="00FB29D2" w:rsidRDefault="00BF2ED6">
      <w:pPr>
        <w:pStyle w:val="Bilagor"/>
      </w:pPr>
      <w:r>
        <w:t>Bilagor</w:t>
      </w:r>
    </w:p>
    <w:p w14:paraId="30BC3B72" w14:textId="77777777" w:rsidR="00FB29D2" w:rsidRDefault="00BF2ED6">
      <w:pPr>
        <w:pStyle w:val="Bilaga"/>
      </w:pPr>
      <w:r>
        <w:t>Bilaga 1: Barnbokslut 2025</w:t>
      </w:r>
    </w:p>
    <w:p w14:paraId="4041605A" w14:textId="77777777" w:rsidR="00FB29D2" w:rsidRDefault="00BF2ED6">
      <w:r>
        <w:br w:type="page"/>
      </w:r>
    </w:p>
    <w:p w14:paraId="271A31AA" w14:textId="77777777" w:rsidR="00FB29D2" w:rsidRDefault="00BF2ED6">
      <w:pPr>
        <w:pStyle w:val="Rubrik1-Sidbryt"/>
      </w:pPr>
      <w:bookmarkStart w:id="0" w:name="_Toc219980631"/>
      <w:r>
        <w:lastRenderedPageBreak/>
        <w:t>Sammanfattning</w:t>
      </w:r>
      <w:bookmarkEnd w:id="0"/>
    </w:p>
    <w:p w14:paraId="32F01FD9" w14:textId="77777777" w:rsidR="00FB29D2" w:rsidRDefault="00BF2ED6">
      <w:pPr>
        <w:pStyle w:val="BodyText"/>
        <w:widowControl w:val="0"/>
      </w:pPr>
      <w:r>
        <w:t>Göteborgs Spårvägar AB (GS) är en del av stadens varumärke. Bolaget ägs av Göteborgs Stadshus AB (85 procent) och av Västtrafik AB (15 procent). Göteborgs Stad är administrativ huvudman och äger spårvägsbanan med tillhörande trafikmiljö. Västtrafik genom Västra Götalandsregionen, är huvudman för kollektivtrafiken och finansierar hela spårvagnstrafiken.</w:t>
      </w:r>
    </w:p>
    <w:p w14:paraId="4102A08C" w14:textId="77777777" w:rsidR="00FB29D2" w:rsidRDefault="00BF2ED6">
      <w:pPr>
        <w:pStyle w:val="BodyText"/>
        <w:widowControl w:val="0"/>
      </w:pPr>
      <w:r>
        <w:t>Med cirka 1 400 medarbetare och 250 spårvagnar erbjuder GS persontransporter inom kollektivtrafikområdet. Spårvagnsresan är vår kärnverksamhet där vi tillsammans arbetar för fler och nöjdare resenärer. Tillhörande produkterbjudanden är tidtabell, bana, fordon och service.</w:t>
      </w:r>
    </w:p>
    <w:p w14:paraId="1CD5F719" w14:textId="77777777" w:rsidR="00FB29D2" w:rsidRDefault="00BF2ED6">
      <w:pPr>
        <w:pStyle w:val="BodyText"/>
        <w:widowControl w:val="0"/>
      </w:pPr>
      <w:r>
        <w:t>För 2025 kan vi stolt säga att vi redan ser resultat av den effektiviseringsresa som är påbörjad. De genomförda åtgärderna i år har resulterat i ett positivt utfall med 39,4 miljoner kronor för 2025. Vi har även pressat ner budgeten för 2026 med totalt 35 miljoner kronor. Vi ökar produktionen men inte kostnaderna. Fler aktiviteter inom området är planerade även för 2026.</w:t>
      </w:r>
    </w:p>
    <w:p w14:paraId="5775448F" w14:textId="77777777" w:rsidR="00FB29D2" w:rsidRDefault="00BF2ED6">
      <w:pPr>
        <w:pStyle w:val="BodyText"/>
        <w:widowControl w:val="0"/>
      </w:pPr>
      <w:r>
        <w:t>Vi har under året fokuserat på att jobba med vårt arbetsgivarvarumärke, både internt och externt. Resultatet visar tydligt att vi lyckats i arbetet genom att fler väljer att söka sig till oss och vi har en högre nöjdhet i bolaget. Medarbetarundersökningen som genomfördes under hösten 2025 visar stora framsteg i trivsel och nöjdhet bland våra medarbetare. Vi gick bland annat från ett HME (hållbart medarbetarengagemang) på 72 till 79.</w:t>
      </w:r>
    </w:p>
    <w:p w14:paraId="48D410EB" w14:textId="77777777" w:rsidR="00FB29D2" w:rsidRDefault="00BF2ED6">
      <w:pPr>
        <w:pStyle w:val="BodyText"/>
        <w:widowControl w:val="0"/>
      </w:pPr>
      <w:r>
        <w:t>Miljöengagemanget är stort i bolaget. Under året har vi kunnat se tydliga resultat efter ett påbörjat arbete. Vi har bland annat genomfört energieffektiviseringar, vilket sparat bolaget totalt 2,6 miljoner kWh per år. Vi kommer vidare att jobba intensivt med kemikaliehantering och andra aktiviteter för att kunna ligga i framkant inom miljö.</w:t>
      </w:r>
    </w:p>
    <w:p w14:paraId="0A99E197" w14:textId="77777777" w:rsidR="00FB29D2" w:rsidRDefault="00BF2ED6">
      <w:pPr>
        <w:pStyle w:val="BodyText"/>
        <w:widowControl w:val="0"/>
      </w:pPr>
      <w:r>
        <w:t>Vi avrundade året med att fatta beslut om nya styrdokument och arbetssätt inom trafiksäkerhet. Vi arbetar aktivt och proaktivt med trafiksäkerhetsfrågor och det är ett område som även kommer att prägla 2026 års verksamhet.</w:t>
      </w:r>
    </w:p>
    <w:p w14:paraId="4C7005A4" w14:textId="77777777" w:rsidR="00FB29D2" w:rsidRDefault="00BF2ED6">
      <w:pPr>
        <w:pStyle w:val="BodyText"/>
        <w:widowControl w:val="0"/>
      </w:pPr>
      <w:r>
        <w:t> </w:t>
      </w:r>
    </w:p>
    <w:p w14:paraId="00954FBB" w14:textId="77777777" w:rsidR="00FB29D2" w:rsidRDefault="00BF2ED6">
      <w:pPr>
        <w:pStyle w:val="Rubrik1-Sidbryt"/>
      </w:pPr>
      <w:bookmarkStart w:id="1" w:name="_Toc219980632"/>
      <w:r>
        <w:t>Väsentlig styrinformation till kommunledningen</w:t>
      </w:r>
      <w:bookmarkEnd w:id="1"/>
    </w:p>
    <w:p w14:paraId="7B2062AA" w14:textId="77777777" w:rsidR="00FB29D2" w:rsidRDefault="00BF2ED6">
      <w:pPr>
        <w:pStyle w:val="Rubrik2"/>
      </w:pPr>
      <w:bookmarkStart w:id="2" w:name="_Toc219980633"/>
      <w:r>
        <w:t>Verksamhetens utveckling</w:t>
      </w:r>
      <w:bookmarkEnd w:id="2"/>
    </w:p>
    <w:p w14:paraId="24761AA2" w14:textId="77777777" w:rsidR="00FB29D2" w:rsidRDefault="00BF2ED6">
      <w:pPr>
        <w:pStyle w:val="Rubrik3"/>
      </w:pPr>
      <w:bookmarkStart w:id="3" w:name="_Toc219980634"/>
      <w:r>
        <w:t>Redovisning av resultat</w:t>
      </w:r>
      <w:bookmarkEnd w:id="3"/>
    </w:p>
    <w:p w14:paraId="61E87611" w14:textId="77777777" w:rsidR="00FB29D2" w:rsidRDefault="00BF2ED6">
      <w:pPr>
        <w:pStyle w:val="Tabellrubrik"/>
      </w:pPr>
      <w:r>
        <w:t>Volymutveckling, personalvolymsutveckling samt nettokostnadsutveckling</w:t>
      </w:r>
    </w:p>
    <w:tbl>
      <w:tblPr>
        <w:tblStyle w:val="Tabellrutnt"/>
        <w:tblOverlap w:val="never"/>
        <w:tblW w:w="0" w:type="auto"/>
        <w:tblLayout w:type="fixed"/>
        <w:tblLook w:val="04A0" w:firstRow="1" w:lastRow="0" w:firstColumn="1" w:lastColumn="0" w:noHBand="0" w:noVBand="1"/>
      </w:tblPr>
      <w:tblGrid>
        <w:gridCol w:w="3628"/>
        <w:gridCol w:w="1247"/>
        <w:gridCol w:w="1247"/>
        <w:gridCol w:w="1247"/>
      </w:tblGrid>
      <w:tr w:rsidR="00FB29D2" w14:paraId="6A1BE89B" w14:textId="77777777">
        <w:trPr>
          <w:cantSplit w:val="0"/>
        </w:trPr>
        <w:tc>
          <w:tcPr>
            <w:tcW w:w="3628" w:type="dxa"/>
            <w:tcBorders>
              <w:top w:val="single" w:sz="4" w:space="0" w:color="auto"/>
              <w:left w:val="single" w:sz="4" w:space="0" w:color="auto"/>
              <w:bottom w:val="single" w:sz="18" w:space="0" w:color="auto"/>
              <w:right w:val="single" w:sz="4" w:space="0" w:color="auto"/>
            </w:tcBorders>
            <w:shd w:val="clear" w:color="auto" w:fill="E5E5E5"/>
            <w:vAlign w:val="center"/>
          </w:tcPr>
          <w:p w14:paraId="2E065360" w14:textId="77777777" w:rsidR="00FB29D2" w:rsidRDefault="00BF2ED6">
            <w:pPr>
              <w:pStyle w:val="Tabellcell"/>
            </w:pPr>
            <w:r>
              <w:rPr>
                <w:b/>
              </w:rPr>
              <w:t> </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43B9649D" w14:textId="77777777" w:rsidR="00FB29D2" w:rsidRDefault="00BF2ED6">
            <w:pPr>
              <w:pStyle w:val="Tabellcell"/>
              <w:jc w:val="center"/>
            </w:pPr>
            <w:r>
              <w:rPr>
                <w:b/>
              </w:rPr>
              <w:t>2025</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3A55B39A" w14:textId="77777777" w:rsidR="00FB29D2" w:rsidRDefault="00BF2ED6">
            <w:pPr>
              <w:pStyle w:val="Tabellcell"/>
              <w:jc w:val="center"/>
            </w:pPr>
            <w:r>
              <w:rPr>
                <w:b/>
              </w:rPr>
              <w:t>2024</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04D7E940" w14:textId="77777777" w:rsidR="00FB29D2" w:rsidRDefault="00BF2ED6">
            <w:pPr>
              <w:pStyle w:val="Tabellcell"/>
              <w:jc w:val="center"/>
            </w:pPr>
            <w:r>
              <w:rPr>
                <w:b/>
              </w:rPr>
              <w:t>2023</w:t>
            </w:r>
          </w:p>
        </w:tc>
      </w:tr>
      <w:tr w:rsidR="00FB29D2" w14:paraId="69BEA816" w14:textId="77777777">
        <w:trPr>
          <w:cantSplit w:val="0"/>
        </w:trPr>
        <w:tc>
          <w:tcPr>
            <w:tcW w:w="362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BB77087" w14:textId="77777777" w:rsidR="00FB29D2" w:rsidRDefault="00FB29D2">
            <w:pPr>
              <w:pStyle w:val="Tabellcell"/>
            </w:pP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764CC4C" w14:textId="77777777" w:rsidR="00FB29D2" w:rsidRDefault="00FB29D2">
            <w:pPr>
              <w:pStyle w:val="Tabellcell"/>
            </w:pP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0FE76F8" w14:textId="77777777" w:rsidR="00FB29D2" w:rsidRDefault="00FB29D2">
            <w:pPr>
              <w:pStyle w:val="Tabellcell"/>
            </w:pP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26EF7F" w14:textId="77777777" w:rsidR="00FB29D2" w:rsidRDefault="00FB29D2">
            <w:pPr>
              <w:pStyle w:val="Tabellcell"/>
            </w:pPr>
          </w:p>
        </w:tc>
      </w:tr>
      <w:tr w:rsidR="00FB29D2" w14:paraId="2708248B"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4342BC" w14:textId="77777777" w:rsidR="00FB29D2" w:rsidRDefault="00FB29D2">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96411F7" w14:textId="77777777" w:rsidR="00FB29D2" w:rsidRDefault="00FB29D2">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F12319C" w14:textId="77777777" w:rsidR="00FB29D2" w:rsidRDefault="00FB29D2">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05F155" w14:textId="77777777" w:rsidR="00FB29D2" w:rsidRDefault="00FB29D2">
            <w:pPr>
              <w:pStyle w:val="Tabellcell"/>
            </w:pPr>
          </w:p>
        </w:tc>
      </w:tr>
    </w:tbl>
    <w:p w14:paraId="7E6EBA17" w14:textId="77777777" w:rsidR="00FB29D2" w:rsidRDefault="00BF2ED6">
      <w:pPr>
        <w:pStyle w:val="Tabellrubrik"/>
      </w:pPr>
      <w:r>
        <w:t>Effektmått och övriga mått/nyckeltal</w:t>
      </w:r>
    </w:p>
    <w:tbl>
      <w:tblPr>
        <w:tblStyle w:val="Tabellrutnt"/>
        <w:tblOverlap w:val="never"/>
        <w:tblW w:w="0" w:type="auto"/>
        <w:tblLayout w:type="fixed"/>
        <w:tblLook w:val="04A0" w:firstRow="1" w:lastRow="0" w:firstColumn="1" w:lastColumn="0" w:noHBand="0" w:noVBand="1"/>
      </w:tblPr>
      <w:tblGrid>
        <w:gridCol w:w="3628"/>
        <w:gridCol w:w="1247"/>
        <w:gridCol w:w="1247"/>
        <w:gridCol w:w="1247"/>
      </w:tblGrid>
      <w:tr w:rsidR="00FB29D2" w14:paraId="7F66B0CD" w14:textId="77777777">
        <w:trPr>
          <w:cantSplit w:val="0"/>
        </w:trPr>
        <w:tc>
          <w:tcPr>
            <w:tcW w:w="3628" w:type="dxa"/>
            <w:tcBorders>
              <w:top w:val="single" w:sz="4" w:space="0" w:color="auto"/>
              <w:left w:val="single" w:sz="4" w:space="0" w:color="auto"/>
              <w:bottom w:val="single" w:sz="18" w:space="0" w:color="auto"/>
              <w:right w:val="single" w:sz="4" w:space="0" w:color="auto"/>
            </w:tcBorders>
            <w:shd w:val="clear" w:color="auto" w:fill="E5E5E5"/>
            <w:vAlign w:val="center"/>
          </w:tcPr>
          <w:p w14:paraId="78E5FD23" w14:textId="77777777" w:rsidR="00FB29D2" w:rsidRDefault="00BF2ED6">
            <w:pPr>
              <w:pStyle w:val="Tabellcell"/>
            </w:pPr>
            <w:r>
              <w:rPr>
                <w:b/>
              </w:rPr>
              <w:t> </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2A2D206D" w14:textId="77777777" w:rsidR="00FB29D2" w:rsidRDefault="00BF2ED6">
            <w:pPr>
              <w:pStyle w:val="Tabellcell"/>
              <w:jc w:val="center"/>
            </w:pPr>
            <w:r>
              <w:rPr>
                <w:b/>
              </w:rPr>
              <w:t>2025</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2041C10D" w14:textId="77777777" w:rsidR="00FB29D2" w:rsidRDefault="00BF2ED6">
            <w:pPr>
              <w:pStyle w:val="Tabellcell"/>
              <w:jc w:val="center"/>
            </w:pPr>
            <w:r>
              <w:rPr>
                <w:b/>
              </w:rPr>
              <w:t>2024</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1597E631" w14:textId="77777777" w:rsidR="00FB29D2" w:rsidRDefault="00BF2ED6">
            <w:pPr>
              <w:pStyle w:val="Tabellcell"/>
              <w:jc w:val="center"/>
            </w:pPr>
            <w:r>
              <w:rPr>
                <w:b/>
              </w:rPr>
              <w:t>2023</w:t>
            </w:r>
          </w:p>
        </w:tc>
      </w:tr>
      <w:tr w:rsidR="00FB29D2" w14:paraId="2A98105C" w14:textId="77777777">
        <w:trPr>
          <w:cantSplit w:val="0"/>
        </w:trPr>
        <w:tc>
          <w:tcPr>
            <w:tcW w:w="3628" w:type="dxa"/>
            <w:tcBorders>
              <w:top w:val="single" w:sz="18" w:space="0" w:color="auto"/>
              <w:left w:val="single" w:sz="4" w:space="0" w:color="auto"/>
              <w:bottom w:val="single" w:sz="4" w:space="0" w:color="auto"/>
              <w:right w:val="single" w:sz="4" w:space="0" w:color="auto"/>
            </w:tcBorders>
            <w:shd w:val="clear" w:color="auto" w:fill="FFFFFF"/>
          </w:tcPr>
          <w:p w14:paraId="2199A1DC" w14:textId="77777777" w:rsidR="00FB29D2" w:rsidRDefault="00BF2ED6">
            <w:pPr>
              <w:pStyle w:val="Tabellcell"/>
            </w:pPr>
            <w:r>
              <w:t>1.Vägtrafikolyckor, per 1 miljon km</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14:paraId="1DE3324A" w14:textId="77777777" w:rsidR="00FB29D2" w:rsidRDefault="00BF2ED6">
            <w:pPr>
              <w:pStyle w:val="Tabellcell"/>
              <w:jc w:val="right"/>
            </w:pPr>
            <w:r>
              <w:t>15,7</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14:paraId="300D11A8" w14:textId="77777777" w:rsidR="00FB29D2" w:rsidRDefault="00BF2ED6">
            <w:pPr>
              <w:pStyle w:val="Tabellcell"/>
              <w:jc w:val="right"/>
            </w:pPr>
            <w:r>
              <w:t>15,1</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14:paraId="006B2C88" w14:textId="77777777" w:rsidR="00FB29D2" w:rsidRDefault="00BF2ED6">
            <w:pPr>
              <w:pStyle w:val="Tabellcell"/>
              <w:jc w:val="right"/>
            </w:pPr>
            <w:r>
              <w:t>16,9</w:t>
            </w:r>
          </w:p>
        </w:tc>
      </w:tr>
      <w:tr w:rsidR="00FB29D2" w14:paraId="139BD0FA"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26B860AF" w14:textId="77777777" w:rsidR="00FB29D2" w:rsidRDefault="00BF2ED6">
            <w:pPr>
              <w:pStyle w:val="Tabellcell"/>
            </w:pPr>
            <w:r>
              <w:t>2.Fotgängarolyckor, per 1 miljon km</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A61CE97" w14:textId="77777777" w:rsidR="00FB29D2" w:rsidRDefault="00BF2ED6">
            <w:pPr>
              <w:pStyle w:val="Tabellcell"/>
              <w:jc w:val="right"/>
            </w:pPr>
            <w:r>
              <w:t>1,4</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653F2ABE" w14:textId="77777777" w:rsidR="00FB29D2" w:rsidRDefault="00BF2ED6">
            <w:pPr>
              <w:pStyle w:val="Tabellcell"/>
              <w:jc w:val="right"/>
            </w:pPr>
            <w:r>
              <w:t>1,2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43579FD7" w14:textId="77777777" w:rsidR="00FB29D2" w:rsidRDefault="00BF2ED6">
            <w:pPr>
              <w:pStyle w:val="Tabellcell"/>
              <w:jc w:val="right"/>
            </w:pPr>
            <w:r>
              <w:t>1,2</w:t>
            </w:r>
          </w:p>
        </w:tc>
      </w:tr>
      <w:tr w:rsidR="00FB29D2" w14:paraId="2651F701"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5BACC070" w14:textId="77777777" w:rsidR="00FB29D2" w:rsidRDefault="00BF2ED6">
            <w:pPr>
              <w:pStyle w:val="Tabellcell"/>
            </w:pPr>
            <w:r>
              <w:t>3.Spårvagnstillgänglighet,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D5F7CAE" w14:textId="77777777" w:rsidR="00FB29D2" w:rsidRDefault="00BF2ED6">
            <w:pPr>
              <w:pStyle w:val="Tabellcell"/>
              <w:jc w:val="right"/>
            </w:pPr>
            <w:r>
              <w:t>74,6</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233ED995" w14:textId="77777777" w:rsidR="00FB29D2" w:rsidRDefault="00BF2ED6">
            <w:pPr>
              <w:pStyle w:val="Tabellcell"/>
              <w:jc w:val="right"/>
            </w:pPr>
            <w:r>
              <w:t>75,1</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3D2DEFB6" w14:textId="77777777" w:rsidR="00FB29D2" w:rsidRDefault="00BF2ED6">
            <w:pPr>
              <w:pStyle w:val="Tabellcell"/>
              <w:jc w:val="right"/>
            </w:pPr>
            <w:r>
              <w:t>77,7</w:t>
            </w:r>
          </w:p>
        </w:tc>
      </w:tr>
      <w:tr w:rsidR="00FB29D2" w14:paraId="22BDEAC5"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317DABB2" w14:textId="77777777" w:rsidR="00FB29D2" w:rsidRDefault="00BF2ED6">
            <w:pPr>
              <w:pStyle w:val="Tabellcell"/>
            </w:pPr>
            <w:r>
              <w:t xml:space="preserve"> 4.Trafikservicegrad, %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3D308655" w14:textId="77777777" w:rsidR="00FB29D2" w:rsidRDefault="00BF2ED6">
            <w:pPr>
              <w:pStyle w:val="Tabellcell"/>
              <w:jc w:val="right"/>
            </w:pPr>
            <w:r>
              <w:t>95,2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99E4D57" w14:textId="77777777" w:rsidR="00FB29D2" w:rsidRDefault="00BF2ED6">
            <w:pPr>
              <w:pStyle w:val="Tabellcell"/>
              <w:jc w:val="right"/>
            </w:pPr>
            <w:r>
              <w:t>94,2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909A9A5" w14:textId="77777777" w:rsidR="00FB29D2" w:rsidRDefault="00BF2ED6">
            <w:pPr>
              <w:pStyle w:val="Tabellcell"/>
              <w:jc w:val="right"/>
            </w:pPr>
            <w:r>
              <w:t>92,9</w:t>
            </w:r>
          </w:p>
        </w:tc>
      </w:tr>
      <w:tr w:rsidR="00FB29D2" w14:paraId="63B81A96"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6AE45A82" w14:textId="77777777" w:rsidR="00FB29D2" w:rsidRDefault="00BF2ED6">
            <w:pPr>
              <w:pStyle w:val="Tabellcell"/>
            </w:pPr>
            <w:r>
              <w:t>5.Resandeutveckling, antal miljoner resor</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5571305A" w14:textId="77777777" w:rsidR="00FB29D2" w:rsidRDefault="00BF2ED6">
            <w:pPr>
              <w:pStyle w:val="Tabellcell"/>
              <w:jc w:val="right"/>
            </w:pPr>
            <w:r>
              <w:t>125,5</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7258C1BC" w14:textId="77777777" w:rsidR="00FB29D2" w:rsidRDefault="00BF2ED6">
            <w:pPr>
              <w:pStyle w:val="Tabellcell"/>
              <w:jc w:val="right"/>
            </w:pPr>
            <w:r>
              <w:t>125,3</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520D4FB8" w14:textId="77777777" w:rsidR="00FB29D2" w:rsidRDefault="00BF2ED6">
            <w:pPr>
              <w:pStyle w:val="Tabellcell"/>
              <w:jc w:val="right"/>
            </w:pPr>
            <w:r>
              <w:t>128,0</w:t>
            </w:r>
          </w:p>
        </w:tc>
      </w:tr>
      <w:tr w:rsidR="00FB29D2" w14:paraId="22DE0861"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28E0D70B" w14:textId="77777777" w:rsidR="00FB29D2" w:rsidRDefault="00BF2ED6">
            <w:pPr>
              <w:pStyle w:val="Tabellcell"/>
            </w:pPr>
            <w:r>
              <w:t>6.Ombordundersökning, nöjd-kund-undersökning (NKU), Senaste resan</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54A67FB6" w14:textId="77777777" w:rsidR="00FB29D2" w:rsidRDefault="00BF2ED6">
            <w:pPr>
              <w:pStyle w:val="Tabellcell"/>
              <w:jc w:val="right"/>
            </w:pPr>
            <w:r>
              <w:t>4,0</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27E443C" w14:textId="77777777" w:rsidR="00FB29D2" w:rsidRDefault="00BF2ED6">
            <w:pPr>
              <w:pStyle w:val="Tabellcell"/>
              <w:jc w:val="right"/>
            </w:pPr>
            <w:r>
              <w:t>4,0</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10C607B" w14:textId="77777777" w:rsidR="00FB29D2" w:rsidRDefault="00BF2ED6">
            <w:pPr>
              <w:pStyle w:val="Tabellcell"/>
              <w:jc w:val="right"/>
            </w:pPr>
            <w:r>
              <w:t>4,0</w:t>
            </w:r>
          </w:p>
        </w:tc>
      </w:tr>
    </w:tbl>
    <w:p w14:paraId="3AF445D5" w14:textId="77777777" w:rsidR="00FB29D2" w:rsidRDefault="00BF2ED6">
      <w:pPr>
        <w:pStyle w:val="BodyText"/>
        <w:widowControl w:val="0"/>
        <w:spacing w:before="160"/>
      </w:pPr>
      <w:r>
        <w:rPr>
          <w:b/>
        </w:rPr>
        <w:t>1</w:t>
      </w:r>
      <w:r>
        <w:t>. Antalet vägtrafikolyckor har ökat marginellt jämfört med 2024, trots det fastställda målet att minska antalet olyckor med 10 procent jämfört med föregående år. Utfallet bör dock bedömas mot bakgrund av de omfattande vägarbeten som pågått under året på flera sträckor. Dessa arbeten har krävt tillfälliga trafiklösningar såsom mobila trafiksignaler samt omläggningar av trafik. Sådana åtgärder innebär en markant förhöjd risk för denna typ av olyckor.</w:t>
      </w:r>
    </w:p>
    <w:p w14:paraId="4827D8FD" w14:textId="77777777" w:rsidR="00FB29D2" w:rsidRDefault="00BF2ED6">
      <w:pPr>
        <w:pStyle w:val="BodyText"/>
        <w:widowControl w:val="0"/>
      </w:pPr>
      <w:r>
        <w:rPr>
          <w:b/>
        </w:rPr>
        <w:t>2.</w:t>
      </w:r>
      <w:r>
        <w:t xml:space="preserve"> Antalet olyckor med fotgängare har ökat marginellt jämfört med föregående år. De senaste analyserna av denna olyckstyp visar att en majoritet av händelserna inträffar till följd av bristande uppmärksamhet hos fotgängare. Exempel på sådana beteenden är att korsa väg och spår mot röd signal, använda hörlurar, bristande observation av trafiken samt andra liknande riskbeteenden. Med anledning av detta har flera åtgärder initierats under året i syfte att stärka säkerheten för oskyddade trafikanter, baserat på genomförda olycksutredningar.</w:t>
      </w:r>
    </w:p>
    <w:p w14:paraId="3BBC4F3B" w14:textId="77777777" w:rsidR="00FB29D2" w:rsidRDefault="00BF2ED6">
      <w:pPr>
        <w:pStyle w:val="BodyText"/>
        <w:widowControl w:val="0"/>
      </w:pPr>
      <w:r>
        <w:rPr>
          <w:b/>
        </w:rPr>
        <w:t>3</w:t>
      </w:r>
      <w:r>
        <w:t xml:space="preserve">. Spårvagnstillgängligheten 2025 hamnar på 74,6 %. Påfrestande år med fordons projekt M31B går upp på full fart och </w:t>
      </w:r>
      <w:proofErr w:type="gramStart"/>
      <w:r>
        <w:t>leverans projekt</w:t>
      </w:r>
      <w:proofErr w:type="gramEnd"/>
      <w:r>
        <w:t xml:space="preserve"> M34 är något försenat för att kompensera. M32 har </w:t>
      </w:r>
      <w:proofErr w:type="spellStart"/>
      <w:r>
        <w:t>lidigt</w:t>
      </w:r>
      <w:proofErr w:type="spellEnd"/>
      <w:r>
        <w:t xml:space="preserve"> av hjulbyteskö under året som inte riktigt åtgärdats. Det kopplat med HVAC-problem har påverkat tillgängligheten. M33 har levererats i Göteborg men presterar ej än som fullt levererad vagn. Flera problem kvarstår i leveransen som hanteras av projektet tills vagnen gått igenom villkorad leverans.</w:t>
      </w:r>
    </w:p>
    <w:p w14:paraId="423864CC" w14:textId="77777777" w:rsidR="00FB29D2" w:rsidRDefault="00BF2ED6">
      <w:pPr>
        <w:pStyle w:val="BodyText"/>
        <w:widowControl w:val="0"/>
      </w:pPr>
      <w:r>
        <w:rPr>
          <w:b/>
        </w:rPr>
        <w:t>4.</w:t>
      </w:r>
      <w:r>
        <w:t xml:space="preserve"> Trafikservicegraden år 2025 uppgick till 95,2% och förbättrades därmed en procentenhet jämfört med år 2024. Den positiva utvecklingen beror främst på färre störda turer på grund av personalbrist och färre störningar i spårvägsanläggningen. Även störda turer på grund av framkomlighetsproblem är något färre jämfört med år 2024. Framkomlighetsproblem är dock den orsak som fortsatt har störst negativ påverkan på trafikservicegraden. När det gäller fordonsrelaterade fel så har dessa ungefär lika stor påverkan på trafiken som år 2024.</w:t>
      </w:r>
    </w:p>
    <w:p w14:paraId="087FC233" w14:textId="77777777" w:rsidR="00FB29D2" w:rsidRDefault="00BF2ED6">
      <w:pPr>
        <w:pStyle w:val="BodyText"/>
        <w:widowControl w:val="0"/>
      </w:pPr>
      <w:r>
        <w:rPr>
          <w:b/>
        </w:rPr>
        <w:t>5.</w:t>
      </w:r>
      <w:r>
        <w:t xml:space="preserve"> Ackumulerat antal resor för perioden januari - december 2025 är 125,5 miljoner, vilket är 71 247 fler resor jämfört med år 2024. Under perioden januari–juni 2025 uppgick det ackumulerade resandet till cirka 62,7 miljoner resor, jämfört med 63,5 miljoner under motsvarande period 2024, vilket motsvarar en minskning om cirka 0,8 miljoner resor. Nedgången bedöms främst bero på införandet av civila biljettkontrollanter under 2025 samt på sänkta drivmedelsskatter och lägre bensinpriser, vilket ökade konkurrensen från bilresande. Under sommarmånaderna skedde en successiv återhämtning av resandet. Återhämtningen kan till stor del förklaras av en mer normal evenemangssommar jämfört med föregående år. Under årets sista kvartal noterades en positiv utveckling av resandet jämfört med 2024, med ökningar under samtliga månader.</w:t>
      </w:r>
    </w:p>
    <w:p w14:paraId="2849DB12" w14:textId="77777777" w:rsidR="00FB29D2" w:rsidRDefault="00BF2ED6">
      <w:pPr>
        <w:pStyle w:val="BodyText"/>
        <w:widowControl w:val="0"/>
      </w:pPr>
      <w:r>
        <w:rPr>
          <w:b/>
        </w:rPr>
        <w:t xml:space="preserve">6. </w:t>
      </w:r>
      <w:r>
        <w:t xml:space="preserve">Det ackumulerade utfallet för NKU 2025 uppgår till 4,0 vilket är oförändrat jämfört med år 2024 och 2023. Indikatorn lita på tidhållning har utvecklats mest i positiv riktning och uppgår till 3,8 år 2025 mot 3,5 år 2024. Områden som har uppvisat förbättringar med 0,1 i jämförelse med år 2024 är trevligt bemötande, plats ombord, störningsinformation, trygg ombord samt nöjd med Västtrafik. Indikatorerna senaste resan, helt, rent och städat, behagligt klimat, personalen uppmärksam, </w:t>
      </w:r>
      <w:proofErr w:type="spellStart"/>
      <w:r>
        <w:t>körstil</w:t>
      </w:r>
      <w:proofErr w:type="spellEnd"/>
      <w:r>
        <w:t xml:space="preserve"> samt hållplatsinformation är oförändrade jämfört med år 2024.</w:t>
      </w:r>
    </w:p>
    <w:p w14:paraId="34661263" w14:textId="77777777" w:rsidR="00FB29D2" w:rsidRDefault="00BF2ED6">
      <w:pPr>
        <w:pStyle w:val="BodyText"/>
        <w:widowControl w:val="0"/>
      </w:pPr>
      <w:r>
        <w:t> </w:t>
      </w:r>
    </w:p>
    <w:p w14:paraId="4ADC396E" w14:textId="77777777" w:rsidR="00FB29D2" w:rsidRDefault="00BF2ED6">
      <w:pPr>
        <w:pStyle w:val="BodyText"/>
        <w:widowControl w:val="0"/>
      </w:pPr>
      <w:r>
        <w:t> </w:t>
      </w:r>
    </w:p>
    <w:p w14:paraId="7D940627" w14:textId="77777777" w:rsidR="00FB29D2" w:rsidRDefault="00BF2ED6">
      <w:pPr>
        <w:pStyle w:val="Rubrik3"/>
      </w:pPr>
      <w:bookmarkStart w:id="4" w:name="_Toc219980635"/>
      <w:r>
        <w:t>Väsentliga avvikelser i verksamhetens utveckling</w:t>
      </w:r>
      <w:bookmarkEnd w:id="4"/>
    </w:p>
    <w:tbl>
      <w:tblPr>
        <w:tblStyle w:val="Tabellrutnt"/>
        <w:tblOverlap w:val="never"/>
        <w:tblW w:w="0" w:type="auto"/>
        <w:tblLook w:val="04A0" w:firstRow="1" w:lastRow="0" w:firstColumn="1" w:lastColumn="0" w:noHBand="0" w:noVBand="1"/>
      </w:tblPr>
      <w:tblGrid>
        <w:gridCol w:w="7360"/>
      </w:tblGrid>
      <w:tr w:rsidR="00FB29D2" w14:paraId="15EFBB9D"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32BCF42A" w14:textId="77777777" w:rsidR="00FB29D2" w:rsidRDefault="00BF2ED6">
            <w:pPr>
              <w:pStyle w:val="Tabellcell"/>
            </w:pPr>
            <w:r>
              <w:rPr>
                <w:b/>
              </w:rPr>
              <w:t xml:space="preserve"> 1. Brist på spårvagnar, spårvagnsuppställnings - och depåkapacitet </w:t>
            </w:r>
          </w:p>
        </w:tc>
      </w:tr>
      <w:tr w:rsidR="00FB29D2" w14:paraId="13B57230"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28FD2D09" w14:textId="77777777" w:rsidR="00FB29D2" w:rsidRDefault="00BF2ED6">
            <w:pPr>
              <w:pStyle w:val="Tabellcell"/>
            </w:pPr>
            <w:r>
              <w:rPr>
                <w:b/>
                <w:i/>
              </w:rPr>
              <w:t>Beskrivning av avvikelse och orsak till att den uppstått</w:t>
            </w:r>
          </w:p>
        </w:tc>
      </w:tr>
      <w:tr w:rsidR="00FB29D2" w14:paraId="61891CB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2EA4C97" w14:textId="77777777" w:rsidR="00FB29D2" w:rsidRDefault="00BF2ED6">
            <w:pPr>
              <w:pStyle w:val="Tabellcell"/>
            </w:pPr>
            <w:r>
              <w:t xml:space="preserve">Mängden tillgängliga spårvagnar är låg i förhållande till behovet av fordon i </w:t>
            </w:r>
            <w:proofErr w:type="spellStart"/>
            <w:r>
              <w:t>peaktider</w:t>
            </w:r>
            <w:proofErr w:type="spellEnd"/>
            <w:r>
              <w:t>. Depåkapaciteten är begränsad och i behov av nya funktioner, renovering, mm. Byggavvikelser identifierades på depå Ringön som medförde flertalet avstängda spår i väntan på åtgärd. Under sommaren 2025 kunde spåren öppnas igen. Anläggningen har dock fortsatt brister som påverkar verksamheten. Anpassningar i depå för hantering av nya vagnar samt brister i leverans av dokumentation leder till förlängda stilleståndstider vid skador på vagn.</w:t>
            </w:r>
          </w:p>
        </w:tc>
      </w:tr>
      <w:tr w:rsidR="00FB29D2" w14:paraId="7F07DFE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41E71FD" w14:textId="77777777" w:rsidR="00FB29D2" w:rsidRDefault="00BF2ED6">
            <w:pPr>
              <w:pStyle w:val="Tabellcell"/>
            </w:pPr>
            <w:r>
              <w:rPr>
                <w:b/>
                <w:i/>
              </w:rPr>
              <w:t>Konsekvenser för de verksamheten är till för</w:t>
            </w:r>
          </w:p>
        </w:tc>
      </w:tr>
      <w:tr w:rsidR="00FB29D2" w14:paraId="5AE4C18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C24CD4C" w14:textId="77777777" w:rsidR="00FB29D2" w:rsidRDefault="00BF2ED6">
            <w:pPr>
              <w:pStyle w:val="Tabellcell"/>
            </w:pPr>
            <w:r>
              <w:t>Resenären drabbas av högre trängsel och av lägre trafikservicegrad på grund av inställda turer och större mängd korta vagnar (singelpedaler 15 m) i trafik.</w:t>
            </w:r>
          </w:p>
        </w:tc>
      </w:tr>
      <w:tr w:rsidR="00FB29D2" w14:paraId="2D9FCBDB"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4E19863" w14:textId="77777777" w:rsidR="00FB29D2" w:rsidRDefault="00BF2ED6">
            <w:pPr>
              <w:pStyle w:val="Tabellcell"/>
            </w:pPr>
            <w:r>
              <w:rPr>
                <w:b/>
                <w:i/>
              </w:rPr>
              <w:t>Konsekvenser för förvaltningen, medarbetare och chefer</w:t>
            </w:r>
          </w:p>
        </w:tc>
      </w:tr>
      <w:tr w:rsidR="00FB29D2" w14:paraId="029E5A67"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65C6BBF" w14:textId="77777777" w:rsidR="00FB29D2" w:rsidRDefault="00BF2ED6">
            <w:pPr>
              <w:pStyle w:val="Tabellcell"/>
            </w:pPr>
            <w:r>
              <w:t>Den pressade situationen vad gäller vagnstillgången kommer hålla i sig i flera år. Försening av leverans av fordon M33/34, försening i uppgradering av M31 och att depå Ringön ej fungerat som tänkt leder fortsatt till frustration och högre arbetsbelastning då verksamheten behöver planera om och hantera avvikelser.</w:t>
            </w:r>
          </w:p>
        </w:tc>
      </w:tr>
      <w:tr w:rsidR="00FB29D2" w14:paraId="3E8AA33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FFED6FF" w14:textId="77777777" w:rsidR="00FB29D2" w:rsidRDefault="00BF2ED6">
            <w:pPr>
              <w:pStyle w:val="Tabellcell"/>
            </w:pPr>
            <w:r>
              <w:rPr>
                <w:b/>
                <w:i/>
              </w:rPr>
              <w:t>Ekonomiska konsekvenser</w:t>
            </w:r>
          </w:p>
        </w:tc>
      </w:tr>
      <w:tr w:rsidR="00FB29D2" w14:paraId="51048A0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7A5719D" w14:textId="77777777" w:rsidR="00FB29D2" w:rsidRDefault="00BF2ED6">
            <w:pPr>
              <w:pStyle w:val="Tabellcell"/>
            </w:pPr>
            <w:r>
              <w:t>För bolaget något ökade kostnader då personal behövde flyttas från sin schemalagda depå under första halvan av året. I ett systemperspektiv är det svårt att bedöma de ekonomiska konsekvenserna.</w:t>
            </w:r>
          </w:p>
        </w:tc>
      </w:tr>
      <w:tr w:rsidR="00FB29D2" w14:paraId="08F8B8A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630CB6C" w14:textId="77777777" w:rsidR="00FB29D2" w:rsidRDefault="00BF2ED6">
            <w:pPr>
              <w:pStyle w:val="Tabellcell"/>
            </w:pPr>
            <w:r>
              <w:rPr>
                <w:b/>
                <w:i/>
              </w:rPr>
              <w:t>Vidtagna åtgärder</w:t>
            </w:r>
          </w:p>
        </w:tc>
      </w:tr>
      <w:tr w:rsidR="00FB29D2" w14:paraId="7563755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8D02D37" w14:textId="77777777" w:rsidR="00FB29D2" w:rsidRDefault="00BF2ED6">
            <w:pPr>
              <w:pStyle w:val="Tabellcell"/>
            </w:pPr>
            <w:r>
              <w:t>Regionen har fattat beslut om anskaffning av nästa vagnsmodell M35. Det behövs kontinuerligt arbete för att hålla vagnstillgången uppe och depåkapaciteten i balans. Förberedelser för att minska risker under genomförandet sker inför renoveringen av depå Majorna. Bolaget samverkar aktivt med Västtrafik, Västfastigheter och Stadsmiljöförvaltningen i frågorna.</w:t>
            </w:r>
          </w:p>
        </w:tc>
      </w:tr>
    </w:tbl>
    <w:p w14:paraId="03987235" w14:textId="77777777" w:rsidR="00FB29D2" w:rsidRDefault="00FB29D2">
      <w:pPr>
        <w:pStyle w:val="BodyText"/>
      </w:pPr>
    </w:p>
    <w:tbl>
      <w:tblPr>
        <w:tblStyle w:val="Tabellrutnt"/>
        <w:tblOverlap w:val="never"/>
        <w:tblW w:w="0" w:type="auto"/>
        <w:tblLook w:val="04A0" w:firstRow="1" w:lastRow="0" w:firstColumn="1" w:lastColumn="0" w:noHBand="0" w:noVBand="1"/>
      </w:tblPr>
      <w:tblGrid>
        <w:gridCol w:w="7360"/>
      </w:tblGrid>
      <w:tr w:rsidR="00FB29D2" w14:paraId="6C410B9B"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0A61FD5A" w14:textId="77777777" w:rsidR="00FB29D2" w:rsidRDefault="00BF2ED6">
            <w:pPr>
              <w:pStyle w:val="Tabellcell"/>
            </w:pPr>
            <w:r>
              <w:rPr>
                <w:b/>
              </w:rPr>
              <w:t xml:space="preserve">2. Brist i spårvägsanläggningen </w:t>
            </w:r>
          </w:p>
        </w:tc>
      </w:tr>
      <w:tr w:rsidR="00FB29D2" w14:paraId="1091EE4A"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16673611" w14:textId="77777777" w:rsidR="00FB29D2" w:rsidRDefault="00BF2ED6">
            <w:pPr>
              <w:pStyle w:val="Tabellcell"/>
            </w:pPr>
            <w:r>
              <w:rPr>
                <w:b/>
                <w:i/>
              </w:rPr>
              <w:t>Orsak till att avvikelsen uppstått</w:t>
            </w:r>
          </w:p>
        </w:tc>
      </w:tr>
      <w:tr w:rsidR="00FB29D2" w14:paraId="4CA8B3B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96F44A1" w14:textId="77777777" w:rsidR="00FB29D2" w:rsidRDefault="00BF2ED6">
            <w:pPr>
              <w:pStyle w:val="Tabellcell"/>
            </w:pPr>
            <w:r>
              <w:t xml:space="preserve">Driftstörningar i form av akutarbeten, hastighetsnedsättningar och behov av </w:t>
            </w:r>
            <w:proofErr w:type="spellStart"/>
            <w:r>
              <w:t>omplaneringar</w:t>
            </w:r>
            <w:proofErr w:type="spellEnd"/>
            <w:r>
              <w:t xml:space="preserve"> i spårvägsanläggningen</w:t>
            </w:r>
          </w:p>
        </w:tc>
      </w:tr>
      <w:tr w:rsidR="00FB29D2" w14:paraId="477338F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F0394DF" w14:textId="77777777" w:rsidR="00FB29D2" w:rsidRDefault="00BF2ED6">
            <w:pPr>
              <w:pStyle w:val="Tabellcell"/>
            </w:pPr>
            <w:r>
              <w:rPr>
                <w:b/>
                <w:i/>
              </w:rPr>
              <w:t>Konsekvenser för de verksamheten är till för</w:t>
            </w:r>
          </w:p>
        </w:tc>
      </w:tr>
      <w:tr w:rsidR="00FB29D2" w14:paraId="45EDDFB7"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A5CD1EB" w14:textId="77777777" w:rsidR="00FB29D2" w:rsidRDefault="00BF2ED6">
            <w:pPr>
              <w:pStyle w:val="Tabellcell"/>
            </w:pPr>
            <w:r>
              <w:t>Resenären drabbas av byte av resväg samt behov av ersättningstrafik.</w:t>
            </w:r>
          </w:p>
        </w:tc>
      </w:tr>
      <w:tr w:rsidR="00FB29D2" w14:paraId="58B6A9C5"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1AC43ED" w14:textId="77777777" w:rsidR="00FB29D2" w:rsidRDefault="00BF2ED6">
            <w:pPr>
              <w:pStyle w:val="Tabellcell"/>
            </w:pPr>
            <w:r>
              <w:rPr>
                <w:b/>
                <w:i/>
              </w:rPr>
              <w:t>Konsekvenser för organisation, medarbetare och chefer</w:t>
            </w:r>
          </w:p>
        </w:tc>
      </w:tr>
      <w:tr w:rsidR="00FB29D2" w14:paraId="60F22B9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29BE020" w14:textId="77777777" w:rsidR="00FB29D2" w:rsidRDefault="00BF2ED6">
            <w:pPr>
              <w:pStyle w:val="Tabellcell"/>
            </w:pPr>
            <w:r>
              <w:t xml:space="preserve">Utöver grundtidtabellen som planeras from december – december (12 månader) genomförs ett mycket stort antal </w:t>
            </w:r>
            <w:proofErr w:type="spellStart"/>
            <w:r>
              <w:t>omplaneringar</w:t>
            </w:r>
            <w:proofErr w:type="spellEnd"/>
            <w:r>
              <w:t xml:space="preserve"> av tidtabellen på grund av de av Stadsmiljöförvaltningen erhållna spårarbetsplanerna. Konsekvensen för spårvagnsförarna är främst förseningar, felkörningar, schemarubbningar och övertid. Risk för ökade arbetsmiljörelaterade ärenden på grund av stress i trafiken.</w:t>
            </w:r>
          </w:p>
        </w:tc>
      </w:tr>
      <w:tr w:rsidR="00FB29D2" w14:paraId="4AAD3CA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57F9613" w14:textId="77777777" w:rsidR="00FB29D2" w:rsidRDefault="00BF2ED6">
            <w:pPr>
              <w:pStyle w:val="Tabellcell"/>
            </w:pPr>
            <w:r>
              <w:rPr>
                <w:b/>
                <w:i/>
              </w:rPr>
              <w:t>Ekonomiska konsekvenser</w:t>
            </w:r>
          </w:p>
        </w:tc>
      </w:tr>
      <w:tr w:rsidR="00FB29D2" w14:paraId="6649DCAB"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2FCC621" w14:textId="77777777" w:rsidR="00FB29D2" w:rsidRDefault="00BF2ED6">
            <w:pPr>
              <w:pStyle w:val="Tabellcell"/>
            </w:pPr>
            <w:r>
              <w:t>-</w:t>
            </w:r>
          </w:p>
        </w:tc>
      </w:tr>
      <w:tr w:rsidR="00FB29D2" w14:paraId="2AFB4F7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AA36F8D" w14:textId="77777777" w:rsidR="00FB29D2" w:rsidRDefault="00BF2ED6">
            <w:pPr>
              <w:pStyle w:val="Tabellcell"/>
            </w:pPr>
            <w:r>
              <w:rPr>
                <w:b/>
                <w:i/>
              </w:rPr>
              <w:t>Vidtagna åtgärder</w:t>
            </w:r>
          </w:p>
        </w:tc>
      </w:tr>
      <w:tr w:rsidR="00FB29D2" w14:paraId="5AF0835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6252B08" w14:textId="77777777" w:rsidR="00FB29D2" w:rsidRDefault="00BF2ED6">
            <w:pPr>
              <w:pStyle w:val="Tabellcell"/>
            </w:pPr>
            <w:r>
              <w:t>Trepartsamarbete mellan Göteborgs Spårvägar, Västtrafik samt Stadsmiljöförvaltningen är etablerat. Nytt avtal mellan Göteborgs Spårvägar och Stadsmiljöförvaltningen är signerat och båda parter har fokus på att minska antalet trafikstörande brister i banan. Trafikmiljön och spårvagnsframförandet måste förbättras med skyddsbarriärer och framkomlighetsåtgärder.</w:t>
            </w:r>
          </w:p>
        </w:tc>
      </w:tr>
    </w:tbl>
    <w:p w14:paraId="57EC35C4" w14:textId="77777777" w:rsidR="00FB29D2" w:rsidRDefault="00BF2ED6">
      <w:pPr>
        <w:pStyle w:val="Rubrik3"/>
      </w:pPr>
      <w:bookmarkStart w:id="5" w:name="_Toc219980636"/>
      <w:r>
        <w:t>Övrig väsentlig styrinformation till kommunstyrelsen</w:t>
      </w:r>
      <w:bookmarkEnd w:id="5"/>
    </w:p>
    <w:p w14:paraId="1BD775C6" w14:textId="77777777" w:rsidR="00FB29D2" w:rsidRDefault="00BF2ED6">
      <w:pPr>
        <w:pStyle w:val="BodyText"/>
        <w:widowControl w:val="0"/>
      </w:pPr>
      <w:r>
        <w:t>Ej aktuellt.</w:t>
      </w:r>
    </w:p>
    <w:p w14:paraId="33CDF10A" w14:textId="77777777" w:rsidR="00FB29D2" w:rsidRDefault="00BF2ED6">
      <w:pPr>
        <w:pStyle w:val="Rubrik2"/>
      </w:pPr>
      <w:bookmarkStart w:id="6" w:name="_Toc219980637"/>
      <w:r>
        <w:t>Uppföljning av kommunfullmäktiges budgetmål</w:t>
      </w:r>
      <w:bookmarkEnd w:id="6"/>
    </w:p>
    <w:p w14:paraId="7EA4EABD" w14:textId="77777777" w:rsidR="00FB29D2" w:rsidRDefault="00BF2ED6">
      <w:pPr>
        <w:pStyle w:val="Rubrik3"/>
      </w:pPr>
      <w:bookmarkStart w:id="7" w:name="_Toc219980638"/>
      <w:r>
        <w:t>Göteborg ska vara en jämlik och trygg stad där alla invånare ges inflytande och möjlighet till delaktighet.</w:t>
      </w:r>
      <w:bookmarkEnd w:id="7"/>
    </w:p>
    <w:p w14:paraId="17CE5A43" w14:textId="77777777" w:rsidR="00FB29D2" w:rsidRDefault="00BF2ED6">
      <w:pPr>
        <w:pStyle w:val="BodyText"/>
        <w:widowControl w:val="0"/>
      </w:pPr>
      <w:r>
        <w:t xml:space="preserve">Göteborgs Spårvägar har tidigare deltagit i nyckeltalsinstitutets jämställdhetsindex. Jämställdhetsindex visar hur jämställda arbetsvillkor, arbetsmiljö och anställningsvillkor vi har i vår organisation. I den senaste mätningen visade resultaten att Göteborgs Spårvägar tillhör de tio procent bästa arbetsgivarna i Nyckeltalsinstitutets kartläggning av jämställda arbetsvillkor för män och kvinnor i svenskt arbetsliv. Göteborgs Spårvägar jobbar aktivt inom områden som berör relationen medarbetare och närmsta chef, relationer mellan kollegor samt de årliga processerna för medarbetarsamtal, lönerevision, </w:t>
      </w:r>
      <w:proofErr w:type="spellStart"/>
      <w:r>
        <w:t>arbetsmiljöronder</w:t>
      </w:r>
      <w:proofErr w:type="spellEnd"/>
      <w:r>
        <w:t xml:space="preserve"> och APT som är viktiga för att nå framgång i jämställdhet.</w:t>
      </w:r>
      <w:r>
        <w:br/>
        <w:t xml:space="preserve">Göteborgs Spårvägar är dessutom aktiva i West Pride där GS årligen deltar i Pride-veckan och </w:t>
      </w:r>
      <w:proofErr w:type="spellStart"/>
      <w:r>
        <w:t>pride</w:t>
      </w:r>
      <w:proofErr w:type="spellEnd"/>
      <w:r>
        <w:t>-paraden, vilket är ett viktigt arbete för att driva frågor kopplat till HBTQIA+, mångfald och inkludering.</w:t>
      </w:r>
    </w:p>
    <w:p w14:paraId="62696AB8" w14:textId="77777777" w:rsidR="00FB29D2" w:rsidRDefault="00BF2ED6">
      <w:pPr>
        <w:pStyle w:val="Rubrik3"/>
      </w:pPr>
      <w:bookmarkStart w:id="8" w:name="_Toc219980639"/>
      <w:r>
        <w:t>Segregationen i Göteborg ska brytas.</w:t>
      </w:r>
      <w:bookmarkEnd w:id="8"/>
    </w:p>
    <w:p w14:paraId="012FFF65" w14:textId="77777777" w:rsidR="00FB29D2" w:rsidRDefault="00BF2ED6">
      <w:pPr>
        <w:pStyle w:val="BodyText"/>
        <w:widowControl w:val="0"/>
      </w:pPr>
      <w:r>
        <w:t>Ej tillämplig.</w:t>
      </w:r>
    </w:p>
    <w:p w14:paraId="29658468" w14:textId="77777777" w:rsidR="00FB29D2" w:rsidRDefault="00BF2ED6">
      <w:pPr>
        <w:pStyle w:val="Rubrik3"/>
      </w:pPr>
      <w:bookmarkStart w:id="9" w:name="_Toc219980640"/>
      <w:r>
        <w:t>Göteborg ska klara kompetensförsörjningen.</w:t>
      </w:r>
      <w:bookmarkEnd w:id="9"/>
    </w:p>
    <w:p w14:paraId="369564E5" w14:textId="77777777" w:rsidR="00FB29D2" w:rsidRDefault="00BF2ED6">
      <w:pPr>
        <w:pStyle w:val="BodyText"/>
        <w:widowControl w:val="0"/>
      </w:pPr>
      <w:r>
        <w:t xml:space="preserve">Göteborgs spårvägar har en kompetensförsörjningsstrategi med tillhörande handlingsplan. Bristyrken inom bolaget har varit främst förare och tekniker. Den handlingsplan som kopplats till förarförsörjning har gett goda resultat i form av minskad personalomsättning och högre HME. Satsningar på lön, marknadsföring, mm har också gett effekter på inflödet av personal där bolaget tillsatt utbildningsplatser i betydligt högre grad än tidigare och där examinationsgraden också ökat.  Bolaget har tagit fram en process och etablerat arbetssätt för att följa upp förarförsörjningsprocessen och dess ingående steg. Dess åtgärder har lett till att vi nu är i balans när det gäller förare på bolaget. Vi har fortsatt en utmaning när det gäller tekniker inom infrastrukturområdet och vi fortsätter </w:t>
      </w:r>
      <w:proofErr w:type="gramStart"/>
      <w:r>
        <w:t>det systematiska arbete</w:t>
      </w:r>
      <w:proofErr w:type="gramEnd"/>
      <w:r>
        <w:t xml:space="preserve"> för att komma </w:t>
      </w:r>
      <w:proofErr w:type="gramStart"/>
      <w:r>
        <w:t>ikapp</w:t>
      </w:r>
      <w:proofErr w:type="gramEnd"/>
      <w:r>
        <w:t xml:space="preserve"> där.</w:t>
      </w:r>
    </w:p>
    <w:p w14:paraId="1C4C85BD" w14:textId="77777777" w:rsidR="00FB29D2" w:rsidRDefault="00BF2ED6">
      <w:pPr>
        <w:pStyle w:val="Rubrik3"/>
      </w:pPr>
      <w:bookmarkStart w:id="10" w:name="_Toc219980641"/>
      <w:r>
        <w:t>Göteborg ska byggas ihop till en grön och levande stad utan bostadsbrist.</w:t>
      </w:r>
      <w:bookmarkEnd w:id="10"/>
    </w:p>
    <w:p w14:paraId="3EB36C0B" w14:textId="77777777" w:rsidR="00FB29D2" w:rsidRDefault="00BF2ED6">
      <w:pPr>
        <w:pStyle w:val="BodyText"/>
        <w:widowControl w:val="0"/>
      </w:pPr>
      <w:r>
        <w:t>Ej tillämplig.</w:t>
      </w:r>
    </w:p>
    <w:p w14:paraId="0444A74F" w14:textId="77777777" w:rsidR="00FB29D2" w:rsidRDefault="00BF2ED6">
      <w:pPr>
        <w:pStyle w:val="Rubrik3"/>
      </w:pPr>
      <w:bookmarkStart w:id="11" w:name="_Toc219980642"/>
      <w:r>
        <w:t>Göteborg ska vara ledande i klimatomställningen och ha en hög biologisk mångfald.</w:t>
      </w:r>
      <w:bookmarkEnd w:id="11"/>
    </w:p>
    <w:p w14:paraId="58D335D9" w14:textId="77777777" w:rsidR="00FB29D2" w:rsidRDefault="00BF2ED6">
      <w:pPr>
        <w:pStyle w:val="BodyText"/>
        <w:widowControl w:val="0"/>
      </w:pPr>
      <w:r>
        <w:t xml:space="preserve">Göteborgs Spårvägar bidrar till Göteborgs </w:t>
      </w:r>
      <w:proofErr w:type="gramStart"/>
      <w:r>
        <w:t>stads mål</w:t>
      </w:r>
      <w:proofErr w:type="gramEnd"/>
      <w:r>
        <w:t xml:space="preserve"> om att vara ledande i klimatomställningen genom att tillsammans med kunder och partners fortsätta utveckla och förbättra spårvagnstrafiken i Göteborg. Detta gör bolaget genom att försöka öka tillgängligheten och framkomligheten med nya och större vagnar och genom samverkan med Göteborgs stads Stadsmiljöförvaltning. Målet är att fler ska välja spårvagnen </w:t>
      </w:r>
      <w:proofErr w:type="gramStart"/>
      <w:r>
        <w:t>istället</w:t>
      </w:r>
      <w:proofErr w:type="gramEnd"/>
      <w:r>
        <w:t xml:space="preserve"> för andra trafikslag med större klimatpåverkan. Trafikmiljön i Göteborg är en utmaning. Underhåll och akuta felavhjälpningar begränsar framkomligheten i en redan trång stadsmiljö. Många trafikslag behöver samsas om samma ytor, vilket i sin tur leder till begränsningar i spårvagnsresan. Detta kan i sin tur och i ett längre perspektiv riskera att inverka negativt på människors förtroende för spårvagnstrafiken. Att veta att och när man kan kliva på och av är en av de viktigaste faktorerna för att människor ska välja kollektivtrafik vilket är avgörande för måluppfyllelse. Under året har antalet hastighetsnedsättningar i banan minskat och utvecklingen går åt rätt håll.</w:t>
      </w:r>
    </w:p>
    <w:p w14:paraId="39C5AFDB" w14:textId="77777777" w:rsidR="00FB29D2" w:rsidRDefault="00BF2ED6">
      <w:pPr>
        <w:pStyle w:val="BodyText"/>
        <w:widowControl w:val="0"/>
      </w:pPr>
      <w:r>
        <w:t xml:space="preserve">Göteborgs Spårvägar har påbörjat ett arbete med att kartlägga och minska den egna verksamhets påverkan på klimatet. I affärsplan anges målsättningen att bolaget ska minska verksamhetens klimatavtryck, beräknat enligt </w:t>
      </w:r>
      <w:proofErr w:type="spellStart"/>
      <w:r>
        <w:t>SBTi</w:t>
      </w:r>
      <w:proofErr w:type="spellEnd"/>
      <w:r>
        <w:t xml:space="preserve"> (Science </w:t>
      </w:r>
      <w:proofErr w:type="spellStart"/>
      <w:r>
        <w:t>Based</w:t>
      </w:r>
      <w:proofErr w:type="spellEnd"/>
      <w:r>
        <w:t xml:space="preserve"> Targets </w:t>
      </w:r>
      <w:proofErr w:type="spellStart"/>
      <w:r>
        <w:t>initiative</w:t>
      </w:r>
      <w:proofErr w:type="spellEnd"/>
      <w:r>
        <w:t>). Bolaget har under året genomfört projekt för att minska energianvändningen med god framgång. Då bolaget sedan tidigare köper 100 % förnybar el är den direkta påverkan på klimatet försumbar. Dock frigörs volym av förnybar el för andra aktörer.</w:t>
      </w:r>
    </w:p>
    <w:p w14:paraId="6FF83F38" w14:textId="77777777" w:rsidR="00FB29D2" w:rsidRDefault="00BF2ED6">
      <w:pPr>
        <w:pStyle w:val="BodyText"/>
        <w:widowControl w:val="0"/>
      </w:pPr>
      <w:r>
        <w:t>Göteborgs Spårvägar bidrar till en hög biologisk mångfald främst genom att hantera kemikalier på korrekt sätt, byta ut giftiga ämnen mot mindre giftiga och genom att ta tillvara de grönytor som finns på och kring våra depåer. Hårda ytor som kan göras om till gröna ytor och som ska skötas på ett sådant sätt så att den biologiska mångfalden gynnas, håller på att identifieras och anläggas. Hantering av kemikalier och substitution av ämnen behöver förbättras.</w:t>
      </w:r>
    </w:p>
    <w:p w14:paraId="219E3F4E" w14:textId="77777777" w:rsidR="00FB29D2" w:rsidRDefault="00BF2ED6">
      <w:pPr>
        <w:pStyle w:val="Rubrik3"/>
      </w:pPr>
      <w:bookmarkStart w:id="12" w:name="_Toc219980643"/>
      <w:r>
        <w:t>Göteborgs Stad ska ha en välfärd som möter göteborgarnas behov.</w:t>
      </w:r>
      <w:bookmarkEnd w:id="12"/>
    </w:p>
    <w:p w14:paraId="4EEF65D5" w14:textId="77777777" w:rsidR="00FB29D2" w:rsidRDefault="00BF2ED6">
      <w:pPr>
        <w:pStyle w:val="BodyText"/>
        <w:widowControl w:val="0"/>
      </w:pPr>
      <w:r>
        <w:t>Ej tillämplig.</w:t>
      </w:r>
    </w:p>
    <w:p w14:paraId="512275B1" w14:textId="77777777" w:rsidR="00FB29D2" w:rsidRDefault="00BF2ED6">
      <w:pPr>
        <w:pStyle w:val="Rubrik3"/>
      </w:pPr>
      <w:bookmarkStart w:id="13" w:name="_Toc219980644"/>
      <w:r>
        <w:t>Göteborgs Stad ska ge sina anställda en bra arbetsmiljö och goda arbetsvillkor.</w:t>
      </w:r>
      <w:bookmarkEnd w:id="13"/>
    </w:p>
    <w:p w14:paraId="3209F4EC" w14:textId="77777777" w:rsidR="00FB29D2" w:rsidRDefault="00BF2ED6">
      <w:pPr>
        <w:pStyle w:val="BodyText"/>
        <w:widowControl w:val="0"/>
      </w:pPr>
      <w:r>
        <w:t>Arbetsmiljöfrågorna är viktiga för Göteborgs Spårvägar. Bolaget genomför varje år enkätundersökningar (HME, hållbart medarbetarengagemang). Sedan 2017 ses en uppåtgående trend på HME och när mätningen genomfördes hösten 2025 blev utfallet 79 vilket är ytterst nära målvärdet på 81. Extra positivt är att bolagets största personalgrupp spårvagnsförarna får ett utfall på HME på 80 samtidigt som personalomsättningen på förarna minskat markant. Att förarna trivs och stannar i bolaget har bidragit till att vi nu är i balans när det gäller antalet spårvagnsförare.</w:t>
      </w:r>
    </w:p>
    <w:p w14:paraId="4305D19C" w14:textId="77777777" w:rsidR="00FB29D2" w:rsidRDefault="00BF2ED6">
      <w:pPr>
        <w:pStyle w:val="BodyText"/>
        <w:widowControl w:val="0"/>
      </w:pPr>
      <w:r>
        <w:t>Under 2025 har vi haft fokus på att genom chefoskopet stärka våra chefer och skapa goda organisatoriska förutsättningar för dem. Utifrån resultatet på chefoskopet blir fokus under 2026 att stärka arbetsgivarrollen hos våra chefer.</w:t>
      </w:r>
    </w:p>
    <w:p w14:paraId="51471946" w14:textId="77777777" w:rsidR="00FB29D2" w:rsidRDefault="00BF2ED6">
      <w:pPr>
        <w:pStyle w:val="BodyText"/>
        <w:widowControl w:val="0"/>
      </w:pPr>
      <w:r>
        <w:t>Under 2025 har strukturen och arbetssättet för våra skyddskommittéer arbetats om för att få ett effektivare och tydligare systematiskt arbetsmiljöarbete på bolaget.</w:t>
      </w:r>
    </w:p>
    <w:p w14:paraId="2FA176D6" w14:textId="77777777" w:rsidR="00FB29D2" w:rsidRDefault="00BF2ED6">
      <w:pPr>
        <w:pStyle w:val="Rubrik2"/>
      </w:pPr>
      <w:bookmarkStart w:id="14" w:name="_Toc219980645"/>
      <w:r>
        <w:t>Väsentliga personalförhållanden</w:t>
      </w:r>
      <w:bookmarkEnd w:id="14"/>
    </w:p>
    <w:p w14:paraId="6058B280" w14:textId="77777777" w:rsidR="00FB29D2" w:rsidRDefault="00BF2ED6">
      <w:pPr>
        <w:pStyle w:val="Rubrik3"/>
      </w:pPr>
      <w:bookmarkStart w:id="15" w:name="_Toc219980646"/>
      <w:r>
        <w:t>Mått/nyckeltal som beskriver utvecklingen ur ett HR-perspektiv (styrelser)</w:t>
      </w:r>
      <w:bookmarkEnd w:id="15"/>
    </w:p>
    <w:tbl>
      <w:tblPr>
        <w:tblStyle w:val="Tabellrutnt"/>
        <w:tblOverlap w:val="never"/>
        <w:tblW w:w="0" w:type="auto"/>
        <w:tblLook w:val="04A0" w:firstRow="1" w:lastRow="0" w:firstColumn="1" w:lastColumn="0" w:noHBand="0" w:noVBand="1"/>
      </w:tblPr>
      <w:tblGrid>
        <w:gridCol w:w="1844"/>
        <w:gridCol w:w="1838"/>
        <w:gridCol w:w="1839"/>
        <w:gridCol w:w="1839"/>
      </w:tblGrid>
      <w:tr w:rsidR="00FB29D2" w14:paraId="00D580C4" w14:textId="77777777">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45C4D2A2" w14:textId="77777777" w:rsidR="00FB29D2" w:rsidRDefault="00BF2ED6">
            <w:pPr>
              <w:pStyle w:val="Tabellcell"/>
            </w:pPr>
            <w:r>
              <w:rPr>
                <w:b/>
              </w:rPr>
              <w:t> </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2AD16D8A" w14:textId="77777777" w:rsidR="00FB29D2" w:rsidRDefault="00BF2ED6">
            <w:pPr>
              <w:pStyle w:val="Tabellcell"/>
              <w:jc w:val="center"/>
            </w:pPr>
            <w:r>
              <w:rPr>
                <w:b/>
              </w:rPr>
              <w:t>2025</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3F64150F" w14:textId="77777777" w:rsidR="00FB29D2" w:rsidRDefault="00BF2ED6">
            <w:pPr>
              <w:pStyle w:val="Tabellcell"/>
              <w:jc w:val="center"/>
            </w:pPr>
            <w:r>
              <w:rPr>
                <w:b/>
              </w:rPr>
              <w:t>2024</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7D88B6B0" w14:textId="77777777" w:rsidR="00FB29D2" w:rsidRDefault="00BF2ED6">
            <w:pPr>
              <w:pStyle w:val="Tabellcell"/>
              <w:jc w:val="center"/>
            </w:pPr>
            <w:r>
              <w:rPr>
                <w:b/>
              </w:rPr>
              <w:t>2023</w:t>
            </w:r>
          </w:p>
        </w:tc>
      </w:tr>
      <w:tr w:rsidR="00FB29D2" w14:paraId="5E918CA6" w14:textId="77777777">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19B99860" w14:textId="77777777" w:rsidR="00FB29D2" w:rsidRDefault="00BF2ED6">
            <w:pPr>
              <w:pStyle w:val="Tabellcell"/>
            </w:pPr>
            <w:r>
              <w:t>Total sjukfrånvaro (%)</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0017650F" w14:textId="77777777" w:rsidR="00FB29D2" w:rsidRDefault="00BF2ED6">
            <w:pPr>
              <w:pStyle w:val="Tabellcell"/>
              <w:jc w:val="right"/>
            </w:pPr>
            <w:r>
              <w:t>5,4</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1C8CA8AF" w14:textId="77777777" w:rsidR="00FB29D2" w:rsidRDefault="00BF2ED6">
            <w:pPr>
              <w:pStyle w:val="Tabellcell"/>
              <w:jc w:val="right"/>
            </w:pPr>
            <w:r>
              <w:t>5,6</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5B30148F" w14:textId="77777777" w:rsidR="00FB29D2" w:rsidRDefault="00BF2ED6">
            <w:pPr>
              <w:pStyle w:val="Tabellcell"/>
              <w:jc w:val="right"/>
            </w:pPr>
            <w:r>
              <w:t>6,3</w:t>
            </w:r>
          </w:p>
        </w:tc>
      </w:tr>
      <w:tr w:rsidR="00FB29D2" w14:paraId="5DF7241F"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0CDA49C" w14:textId="77777777" w:rsidR="00FB29D2" w:rsidRDefault="00BF2ED6">
            <w:pPr>
              <w:pStyle w:val="Tabellcell"/>
            </w:pPr>
            <w:r>
              <w:t>Bolagsextern personalomsättning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C30A227" w14:textId="77777777" w:rsidR="00FB29D2" w:rsidRDefault="00BF2ED6">
            <w:pPr>
              <w:pStyle w:val="Tabellcell"/>
              <w:jc w:val="right"/>
            </w:pPr>
            <w:r>
              <w:t>5,96</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0C995D3" w14:textId="77777777" w:rsidR="00FB29D2" w:rsidRDefault="00BF2ED6">
            <w:pPr>
              <w:pStyle w:val="Tabellcell"/>
              <w:jc w:val="right"/>
            </w:pPr>
            <w:r>
              <w:t>6,94</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0858975" w14:textId="77777777" w:rsidR="00FB29D2" w:rsidRDefault="00BF2ED6">
            <w:pPr>
              <w:pStyle w:val="Tabellcell"/>
              <w:jc w:val="right"/>
            </w:pPr>
            <w:r>
              <w:t>9,5</w:t>
            </w:r>
          </w:p>
        </w:tc>
      </w:tr>
      <w:tr w:rsidR="00FB29D2" w14:paraId="253F9848"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D319233" w14:textId="77777777" w:rsidR="00FB29D2" w:rsidRDefault="00BF2ED6">
            <w:pPr>
              <w:pStyle w:val="Tabellcell"/>
            </w:pPr>
            <w:r>
              <w:t>Antal årsarbetare</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1C29FAC" w14:textId="77777777" w:rsidR="00FB29D2" w:rsidRDefault="00BF2ED6">
            <w:pPr>
              <w:pStyle w:val="Tabellcell"/>
              <w:jc w:val="right"/>
            </w:pPr>
            <w:r>
              <w:t>1353</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27447C0" w14:textId="77777777" w:rsidR="00FB29D2" w:rsidRDefault="00BF2ED6">
            <w:pPr>
              <w:pStyle w:val="Tabellcell"/>
              <w:jc w:val="right"/>
            </w:pPr>
            <w:r>
              <w:t>1308</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01F1686C" w14:textId="77777777" w:rsidR="00FB29D2" w:rsidRDefault="00BF2ED6">
            <w:pPr>
              <w:pStyle w:val="Tabellcell"/>
              <w:jc w:val="right"/>
            </w:pPr>
            <w:r>
              <w:t>1254</w:t>
            </w:r>
          </w:p>
        </w:tc>
      </w:tr>
    </w:tbl>
    <w:p w14:paraId="13C1B99C" w14:textId="77777777" w:rsidR="00FB29D2" w:rsidRDefault="00BF2ED6">
      <w:pPr>
        <w:pStyle w:val="Rubrik3"/>
      </w:pPr>
      <w:bookmarkStart w:id="16" w:name="_Toc219980647"/>
      <w:r>
        <w:t>Analys av situationen inom HR-området</w:t>
      </w:r>
      <w:bookmarkEnd w:id="16"/>
    </w:p>
    <w:p w14:paraId="09FA49AD" w14:textId="77777777" w:rsidR="00FB29D2" w:rsidRDefault="00BF2ED6">
      <w:pPr>
        <w:pStyle w:val="BodyText"/>
        <w:widowControl w:val="0"/>
      </w:pPr>
      <w:r>
        <w:t>På Göteborgs Spårvägar arbetar cirka 1 400 medarbetare som utför arbete inom någon av bolagets över hundra olika befattningar. Gemensamt är att alla, oavsett befattning, har rätt till en trygg och säker arbetsmiljö. Hot och våld i kollektivtrafiken ett växande problem. Bolagets medarbetare erbjuds utbildning i konflikthantering för att minska risken för hot och våld samt verktyg för att snabbt tillkalla hjälp om de skulle drabbas.</w:t>
      </w:r>
    </w:p>
    <w:p w14:paraId="61E92792" w14:textId="77777777" w:rsidR="00FB29D2" w:rsidRDefault="00BF2ED6">
      <w:pPr>
        <w:pStyle w:val="BodyText"/>
        <w:widowControl w:val="0"/>
      </w:pPr>
      <w:r>
        <w:t>För att främja god hälsa fortsätter bolaget att erbjuda hälsoundersökning, friskvårdsbidrag, träningsgrupper, viktväktargrupper samt medarbetarstöd. Bolagets sjukfrånvaro har under 2025 fortsatt ligga på den lägre nivån som uppmättes 2024 med en ackumulerad sjukfrånvaro på 5,4% (jämfört med 5,6% 2024 och 6,3 % 2023) vid årets slut. Avdelningen Trafikpersonal och service sticker ut med en högre sjukfrånvaro än övriga avdelningar.</w:t>
      </w:r>
    </w:p>
    <w:p w14:paraId="489FEEF2" w14:textId="77777777" w:rsidR="00FB29D2" w:rsidRDefault="00BF2ED6">
      <w:pPr>
        <w:pStyle w:val="BodyText"/>
        <w:widowControl w:val="0"/>
      </w:pPr>
      <w:r>
        <w:t xml:space="preserve">Under hösten 2025 genomförde bolaget en medarbetarundersökning och uppnådde den högsta HME sedan mätningarna började 79 (73 för 2024). Vi ligger nu nära vår egen målsättning och strax under stadens resultat. Resultaten kring närmaste chef är bra. Tyvärr upplever så mycket som 18% sig ha blivit utsatta för trakasserier eller mobbning </w:t>
      </w:r>
      <w:proofErr w:type="gramStart"/>
      <w:r>
        <w:t>de senaste året</w:t>
      </w:r>
      <w:proofErr w:type="gramEnd"/>
      <w:r>
        <w:t xml:space="preserve"> och är därför något vi kommer att fokusera på under 2026. Svarsfrekvensen var mycket god då 87% av medarbetarna svarade (jmf med 83% 2023).</w:t>
      </w:r>
    </w:p>
    <w:p w14:paraId="3A9E8AC3" w14:textId="77777777" w:rsidR="00FB29D2" w:rsidRDefault="00BF2ED6">
      <w:pPr>
        <w:pStyle w:val="BodyText"/>
        <w:widowControl w:val="0"/>
      </w:pPr>
      <w:r>
        <w:t>Bolaget har under några års tid genomfört en pulsmätning på hösten för att följa upp den stora medarbetarundersökningen som genomförs på våren. Pulsmätningen har fokuserat på frågor om kränkande särbehandling och tystnadskultur. Bolaget har vidtagit åtgärder kopplat till resultatet. Ett APT-material om kränkande särbehandling har distribuerats från HR och används i hela bolaget som ett led i att prata om och förbättra kulturen, motverka tystnadskultur och stärka den psykologiska tryggheten. HR har också förvärvat kompetens inom metoden Fakta undersökning, som är en utredningsmetod vid kränkande särbehandling och diskriminering med målet att säkerställa och återupprätta en god arbetsmiljö. Utifrån resultaten arbetar bolaget vidare med utveckling av ledarskap, medarbetarskap och kommunikation. Varje avdelning skapar handlingsplaner för att stärka det förebyggande arbetet mot kränkningar, diskriminering och trakasserier på arbetsplatsen. Det arbetet startades i december 2024 och pågick under 2025.</w:t>
      </w:r>
    </w:p>
    <w:p w14:paraId="6F3E344D" w14:textId="77777777" w:rsidR="00FB29D2" w:rsidRDefault="00BF2ED6">
      <w:pPr>
        <w:pStyle w:val="BodyText"/>
        <w:widowControl w:val="0"/>
      </w:pPr>
      <w:r>
        <w:t xml:space="preserve">För att utveckla verksamheten mot våra bolagsmål är rätt kompetens viktigast. Bolaget upplever fortsatt utmaningar i att rekrytera till tekniska yrken som exempelvis elektriker och mekaniker och bolaget behöver fortsätta att jobba med hur kompetensbristen inom tekniska yrken ska lösas. Den handlingsplan för förarförsörjning som skapades 2023/2024 har givit effekt. GS avslutar verksamhetsåret 2025 med att ha en </w:t>
      </w:r>
      <w:proofErr w:type="spellStart"/>
      <w:r>
        <w:t>förarkår</w:t>
      </w:r>
      <w:proofErr w:type="spellEnd"/>
      <w:r>
        <w:t xml:space="preserve"> i balans. Främsta orsaken till det är den minskade personalomsättningen, hög andel rekryterade som klarar utbildningen och är kvar efter provanställning samt ökat antal återvändande till yrket. Fokus nu blir att fortsätta arbetet med att behålla våra förare samt att fortsätta arbetet med att öka attraktiviteten för yrket.</w:t>
      </w:r>
    </w:p>
    <w:p w14:paraId="40696988" w14:textId="77777777" w:rsidR="00FB29D2" w:rsidRDefault="00BF2ED6">
      <w:pPr>
        <w:pStyle w:val="Rubrik2"/>
      </w:pPr>
      <w:bookmarkStart w:id="17" w:name="_Toc219980648"/>
      <w:r>
        <w:t>Ekonomisk uppföljning</w:t>
      </w:r>
      <w:bookmarkEnd w:id="17"/>
    </w:p>
    <w:p w14:paraId="27024E1D" w14:textId="77777777" w:rsidR="00FB29D2" w:rsidRDefault="00BF2ED6">
      <w:pPr>
        <w:pStyle w:val="Rubrik3"/>
      </w:pPr>
      <w:bookmarkStart w:id="18" w:name="_Toc219980649"/>
      <w:r>
        <w:t>Analys av årets utfall - Styrelse</w:t>
      </w:r>
      <w:bookmarkEnd w:id="18"/>
    </w:p>
    <w:p w14:paraId="1E7B81DC" w14:textId="77777777" w:rsidR="00FB29D2" w:rsidRDefault="00BF2ED6">
      <w:pPr>
        <w:pStyle w:val="Tabellrubrik"/>
      </w:pPr>
      <w:r>
        <w:t>Resultaträkning</w:t>
      </w:r>
    </w:p>
    <w:tbl>
      <w:tblPr>
        <w:tblStyle w:val="Tabellrutnt"/>
        <w:tblOverlap w:val="never"/>
        <w:tblW w:w="0" w:type="auto"/>
        <w:tblLayout w:type="fixed"/>
        <w:tblLook w:val="04A0" w:firstRow="1" w:lastRow="0" w:firstColumn="1" w:lastColumn="0" w:noHBand="0" w:noVBand="1"/>
      </w:tblPr>
      <w:tblGrid>
        <w:gridCol w:w="1701"/>
        <w:gridCol w:w="1134"/>
        <w:gridCol w:w="1134"/>
        <w:gridCol w:w="1134"/>
        <w:gridCol w:w="1134"/>
        <w:gridCol w:w="1134"/>
      </w:tblGrid>
      <w:tr w:rsidR="00FB29D2" w14:paraId="7B586738" w14:textId="77777777">
        <w:trPr>
          <w:cantSplit w:val="0"/>
        </w:trPr>
        <w:tc>
          <w:tcPr>
            <w:tcW w:w="1701" w:type="dxa"/>
            <w:tcBorders>
              <w:top w:val="single" w:sz="4" w:space="0" w:color="auto"/>
              <w:left w:val="single" w:sz="4" w:space="0" w:color="auto"/>
              <w:bottom w:val="single" w:sz="18" w:space="0" w:color="auto"/>
              <w:right w:val="single" w:sz="4" w:space="0" w:color="auto"/>
            </w:tcBorders>
            <w:shd w:val="clear" w:color="auto" w:fill="E5E5E5"/>
            <w:vAlign w:val="center"/>
          </w:tcPr>
          <w:p w14:paraId="033187CD" w14:textId="77777777" w:rsidR="00FB29D2" w:rsidRDefault="00BF2ED6">
            <w:pPr>
              <w:pStyle w:val="Tabellcell"/>
            </w:pPr>
            <w:r>
              <w:rPr>
                <w:b/>
              </w:rPr>
              <w:t>mnkr</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1E3383C3" w14:textId="77777777" w:rsidR="00FB29D2" w:rsidRDefault="00BF2ED6">
            <w:pPr>
              <w:pStyle w:val="Tabellcell"/>
              <w:jc w:val="center"/>
            </w:pPr>
            <w:r>
              <w:rPr>
                <w:b/>
              </w:rPr>
              <w:t>Bokslut 2025</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3952A3D6" w14:textId="77777777" w:rsidR="00FB29D2" w:rsidRDefault="00BF2ED6">
            <w:pPr>
              <w:pStyle w:val="Tabellcell"/>
              <w:jc w:val="center"/>
            </w:pPr>
            <w:r>
              <w:rPr>
                <w:b/>
              </w:rPr>
              <w:t>Budget 2025</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32642AF9" w14:textId="77777777" w:rsidR="00FB29D2" w:rsidRDefault="00BF2ED6">
            <w:pPr>
              <w:pStyle w:val="Tabellcell"/>
              <w:jc w:val="center"/>
            </w:pPr>
            <w:r>
              <w:rPr>
                <w:b/>
              </w:rPr>
              <w:t>Avvikelse</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47D17151" w14:textId="77777777" w:rsidR="00FB29D2" w:rsidRDefault="00BF2ED6">
            <w:pPr>
              <w:pStyle w:val="Tabellcell"/>
              <w:jc w:val="center"/>
            </w:pPr>
            <w:r>
              <w:rPr>
                <w:b/>
              </w:rPr>
              <w:t>Bokslut 2024</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48F5089E" w14:textId="77777777" w:rsidR="00FB29D2" w:rsidRDefault="00BF2ED6">
            <w:pPr>
              <w:pStyle w:val="Tabellcell"/>
              <w:jc w:val="center"/>
            </w:pPr>
            <w:r>
              <w:rPr>
                <w:b/>
              </w:rPr>
              <w:t>Bokslut 2023</w:t>
            </w:r>
          </w:p>
        </w:tc>
      </w:tr>
      <w:tr w:rsidR="00FB29D2" w14:paraId="110603B7" w14:textId="77777777">
        <w:trPr>
          <w:cantSplit w:val="0"/>
        </w:trPr>
        <w:tc>
          <w:tcPr>
            <w:tcW w:w="1701" w:type="dxa"/>
            <w:tcBorders>
              <w:top w:val="single" w:sz="18" w:space="0" w:color="auto"/>
              <w:left w:val="single" w:sz="4" w:space="0" w:color="auto"/>
              <w:bottom w:val="single" w:sz="4" w:space="0" w:color="auto"/>
              <w:right w:val="single" w:sz="4" w:space="0" w:color="auto"/>
            </w:tcBorders>
            <w:shd w:val="clear" w:color="auto" w:fill="FFFFFF"/>
            <w:vAlign w:val="center"/>
          </w:tcPr>
          <w:p w14:paraId="097CB6AC" w14:textId="77777777" w:rsidR="00FB29D2" w:rsidRDefault="00BF2ED6">
            <w:pPr>
              <w:pStyle w:val="Tabellcell"/>
            </w:pPr>
            <w:r>
              <w:t>Intäkter</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1078AA8C" w14:textId="77777777" w:rsidR="00FB29D2" w:rsidRDefault="00BF2ED6">
            <w:pPr>
              <w:pStyle w:val="Tabellcell"/>
              <w:jc w:val="right"/>
            </w:pPr>
            <w:r>
              <w:t>1 640,6</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03369F8" w14:textId="77777777" w:rsidR="00FB29D2" w:rsidRDefault="00BF2ED6">
            <w:pPr>
              <w:pStyle w:val="Tabellcell"/>
              <w:jc w:val="right"/>
            </w:pPr>
            <w:r>
              <w:t>1 610,8</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4F750FE8" w14:textId="77777777" w:rsidR="00FB29D2" w:rsidRDefault="00BF2ED6">
            <w:pPr>
              <w:pStyle w:val="Tabellcell"/>
              <w:jc w:val="right"/>
            </w:pPr>
            <w:r>
              <w:t>29,8</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58F015B1" w14:textId="77777777" w:rsidR="00FB29D2" w:rsidRDefault="00BF2ED6">
            <w:pPr>
              <w:pStyle w:val="Tabellcell"/>
              <w:jc w:val="right"/>
            </w:pPr>
            <w:r>
              <w:t>1 532,0</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D7D0A6F" w14:textId="77777777" w:rsidR="00FB29D2" w:rsidRDefault="00BF2ED6">
            <w:pPr>
              <w:pStyle w:val="Tabellcell"/>
              <w:jc w:val="right"/>
            </w:pPr>
            <w:r>
              <w:t>1 354,6</w:t>
            </w:r>
          </w:p>
        </w:tc>
      </w:tr>
      <w:tr w:rsidR="00FB29D2" w14:paraId="746E7B45" w14:textId="77777777">
        <w:trPr>
          <w:cantSplit w:val="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EC95095" w14:textId="77777777" w:rsidR="00FB29D2" w:rsidRDefault="00BF2ED6">
            <w:pPr>
              <w:pStyle w:val="Tabellcell"/>
            </w:pPr>
            <w:r>
              <w:t>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253A71" w14:textId="77777777" w:rsidR="00FB29D2" w:rsidRDefault="00BF2ED6">
            <w:pPr>
              <w:pStyle w:val="Tabellcell"/>
              <w:jc w:val="right"/>
            </w:pPr>
            <w:r>
              <w:t>-1 639,9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400AD8" w14:textId="77777777" w:rsidR="00FB29D2" w:rsidRDefault="00BF2ED6">
            <w:pPr>
              <w:pStyle w:val="Tabellcell"/>
              <w:jc w:val="right"/>
            </w:pPr>
            <w:r>
              <w:t>-1 609,4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ECDBCF" w14:textId="77777777" w:rsidR="00FB29D2" w:rsidRDefault="00BF2ED6">
            <w:pPr>
              <w:pStyle w:val="Tabellcell"/>
              <w:jc w:val="right"/>
            </w:pPr>
            <w:r>
              <w:t>-30,5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B957C8" w14:textId="77777777" w:rsidR="00FB29D2" w:rsidRDefault="00BF2ED6">
            <w:pPr>
              <w:pStyle w:val="Tabellcell"/>
              <w:jc w:val="right"/>
            </w:pPr>
            <w:r>
              <w:t>-1 531,3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698DB7" w14:textId="77777777" w:rsidR="00FB29D2" w:rsidRDefault="00BF2ED6">
            <w:pPr>
              <w:pStyle w:val="Tabellcell"/>
              <w:jc w:val="right"/>
            </w:pPr>
            <w:r>
              <w:t>-1 355,4</w:t>
            </w:r>
          </w:p>
        </w:tc>
      </w:tr>
      <w:tr w:rsidR="00FB29D2" w14:paraId="75FC7EBF" w14:textId="77777777">
        <w:trPr>
          <w:cantSplit w:val="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D7C0572" w14:textId="77777777" w:rsidR="00FB29D2" w:rsidRDefault="00BF2ED6">
            <w:pPr>
              <w:pStyle w:val="Tabellcell"/>
            </w:pPr>
            <w:r>
              <w:rPr>
                <w:b/>
              </w:rPr>
              <w:t>Rörelseresultat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E9B82A" w14:textId="77777777" w:rsidR="00FB29D2" w:rsidRDefault="00BF2ED6">
            <w:pPr>
              <w:pStyle w:val="Tabellcell"/>
              <w:jc w:val="right"/>
            </w:pPr>
            <w:r>
              <w:rPr>
                <w:b/>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4ADD42" w14:textId="77777777" w:rsidR="00FB29D2" w:rsidRDefault="00BF2ED6">
            <w:pPr>
              <w:pStyle w:val="Tabellcell"/>
              <w:jc w:val="right"/>
            </w:pPr>
            <w:r>
              <w:rPr>
                <w:b/>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16D0B9" w14:textId="77777777" w:rsidR="00FB29D2" w:rsidRDefault="00BF2ED6">
            <w:pPr>
              <w:pStyle w:val="Tabellcell"/>
              <w:jc w:val="right"/>
            </w:pPr>
            <w:r>
              <w:rPr>
                <w:b/>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51EEF8" w14:textId="77777777" w:rsidR="00FB29D2" w:rsidRDefault="00BF2ED6">
            <w:pPr>
              <w:pStyle w:val="Tabellcell"/>
              <w:jc w:val="right"/>
            </w:pPr>
            <w:r>
              <w:rPr>
                <w:b/>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498EEA" w14:textId="77777777" w:rsidR="00FB29D2" w:rsidRDefault="00BF2ED6">
            <w:pPr>
              <w:pStyle w:val="Tabellcell"/>
              <w:jc w:val="right"/>
            </w:pPr>
            <w:r>
              <w:rPr>
                <w:b/>
              </w:rPr>
              <w:t>-0,8</w:t>
            </w:r>
          </w:p>
        </w:tc>
      </w:tr>
      <w:tr w:rsidR="00FB29D2" w14:paraId="5F2CFD52" w14:textId="77777777">
        <w:trPr>
          <w:cantSplit w:val="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5A1F" w14:textId="77777777" w:rsidR="00FB29D2" w:rsidRDefault="00BF2ED6">
            <w:pPr>
              <w:pStyle w:val="Tabellcell"/>
            </w:pPr>
            <w:r>
              <w:t>Finansiella 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695777" w14:textId="77777777" w:rsidR="00FB29D2" w:rsidRDefault="00BF2ED6">
            <w:pPr>
              <w:pStyle w:val="Tabellcell"/>
              <w:jc w:val="right"/>
            </w:pPr>
            <w:r>
              <w:t>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4D41FA" w14:textId="77777777" w:rsidR="00FB29D2" w:rsidRDefault="00BF2ED6">
            <w:pPr>
              <w:pStyle w:val="Tabellcell"/>
              <w:jc w:val="right"/>
            </w:pPr>
            <w:r>
              <w:t>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E8F42E" w14:textId="77777777" w:rsidR="00FB29D2" w:rsidRDefault="00BF2ED6">
            <w:pPr>
              <w:pStyle w:val="Tabellcell"/>
              <w:jc w:val="right"/>
            </w:pPr>
            <w:r>
              <w:t>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EC52F7" w14:textId="77777777" w:rsidR="00FB29D2" w:rsidRDefault="00BF2ED6">
            <w:pPr>
              <w:pStyle w:val="Tabellcell"/>
              <w:jc w:val="right"/>
            </w:pPr>
            <w:r>
              <w:t>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37A7CB" w14:textId="77777777" w:rsidR="00FB29D2" w:rsidRDefault="00BF2ED6">
            <w:pPr>
              <w:pStyle w:val="Tabellcell"/>
              <w:jc w:val="right"/>
            </w:pPr>
            <w:r>
              <w:t>1,2</w:t>
            </w:r>
          </w:p>
        </w:tc>
      </w:tr>
      <w:tr w:rsidR="00FB29D2" w14:paraId="304708A4" w14:textId="77777777">
        <w:trPr>
          <w:cantSplit w:val="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FF262D" w14:textId="77777777" w:rsidR="00FB29D2" w:rsidRDefault="00BF2ED6">
            <w:pPr>
              <w:pStyle w:val="Tabellcell"/>
            </w:pPr>
            <w:r>
              <w:t>Finansiella 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68820F" w14:textId="77777777" w:rsidR="00FB29D2" w:rsidRDefault="00BF2ED6">
            <w:pPr>
              <w:pStyle w:val="Tabellcell"/>
              <w:jc w:val="right"/>
            </w:pPr>
            <w:r>
              <w:t>-1,2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526100" w14:textId="77777777" w:rsidR="00FB29D2" w:rsidRDefault="00BF2ED6">
            <w:pPr>
              <w:pStyle w:val="Tabellcell"/>
              <w:jc w:val="right"/>
            </w:pPr>
            <w:r>
              <w:t>-1,6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6017E3" w14:textId="77777777" w:rsidR="00FB29D2" w:rsidRDefault="00BF2ED6">
            <w:pPr>
              <w:pStyle w:val="Tabellcell"/>
              <w:jc w:val="right"/>
            </w:pPr>
            <w:r>
              <w:t>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8145F8" w14:textId="77777777" w:rsidR="00FB29D2" w:rsidRDefault="00BF2ED6">
            <w:pPr>
              <w:pStyle w:val="Tabellcell"/>
              <w:jc w:val="right"/>
            </w:pPr>
            <w:r>
              <w:t>-0,9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660127" w14:textId="77777777" w:rsidR="00FB29D2" w:rsidRDefault="00BF2ED6">
            <w:pPr>
              <w:pStyle w:val="Tabellcell"/>
              <w:jc w:val="right"/>
            </w:pPr>
            <w:r>
              <w:t>-0,4</w:t>
            </w:r>
          </w:p>
        </w:tc>
      </w:tr>
      <w:tr w:rsidR="00FB29D2" w14:paraId="24347BFB" w14:textId="77777777">
        <w:trPr>
          <w:cantSplit w:val="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0233C64" w14:textId="77777777" w:rsidR="00FB29D2" w:rsidRDefault="00BF2ED6">
            <w:pPr>
              <w:pStyle w:val="Tabellcell"/>
            </w:pPr>
            <w:r>
              <w:rPr>
                <w:b/>
              </w:rPr>
              <w:t>Resultat efter fin. 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D0A6BD" w14:textId="77777777" w:rsidR="00FB29D2" w:rsidRDefault="00BF2ED6">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997568" w14:textId="77777777" w:rsidR="00FB29D2" w:rsidRDefault="00BF2ED6">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39DAF6" w14:textId="77777777" w:rsidR="00FB29D2" w:rsidRDefault="00BF2ED6">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921ACE" w14:textId="77777777" w:rsidR="00FB29D2" w:rsidRDefault="00BF2ED6">
            <w:pPr>
              <w:pStyle w:val="Tabellcell"/>
              <w:jc w:val="right"/>
            </w:pPr>
            <w:r>
              <w:t>0,7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1B5264" w14:textId="77777777" w:rsidR="00FB29D2" w:rsidRDefault="00BF2ED6">
            <w:pPr>
              <w:pStyle w:val="Tabellcell"/>
              <w:jc w:val="right"/>
            </w:pPr>
            <w:r>
              <w:t>0</w:t>
            </w:r>
          </w:p>
        </w:tc>
      </w:tr>
    </w:tbl>
    <w:p w14:paraId="0C8501C3" w14:textId="77777777" w:rsidR="00FB29D2" w:rsidRDefault="00BF2ED6">
      <w:pPr>
        <w:pStyle w:val="BodyText"/>
        <w:widowControl w:val="0"/>
        <w:spacing w:before="160"/>
      </w:pPr>
      <w:r>
        <w:rPr>
          <w:b/>
        </w:rPr>
        <w:t>Årets utfall i förhållande till budget</w:t>
      </w:r>
    </w:p>
    <w:p w14:paraId="65A14471" w14:textId="77777777" w:rsidR="00FB29D2" w:rsidRDefault="00BF2ED6">
      <w:pPr>
        <w:pStyle w:val="BodyText"/>
        <w:widowControl w:val="0"/>
      </w:pPr>
      <w:r>
        <w:t xml:space="preserve">Intäkterna uppgick till 1 640,6 mnkr (1 532,0), vilket är en ökning med 7 procent jämfört med 2024, och nettoresultatet slutade </w:t>
      </w:r>
      <w:proofErr w:type="gramStart"/>
      <w:r>
        <w:t>på  0</w:t>
      </w:r>
      <w:proofErr w:type="gramEnd"/>
      <w:r>
        <w:t xml:space="preserve"> (0,7) mnkr.</w:t>
      </w:r>
    </w:p>
    <w:p w14:paraId="76CBA280" w14:textId="77777777" w:rsidR="00FB29D2" w:rsidRDefault="00BF2ED6">
      <w:pPr>
        <w:pStyle w:val="BodyText"/>
        <w:widowControl w:val="0"/>
      </w:pPr>
      <w:r>
        <w:t>Intäkterna avviker med 29,8 mnkr mot budget och beror främst på uppbokning av intäkter för Västtrafiks högvärdeskomponenter som tidigare har lagerredovisats hos Göteborgs Spårvägar, ökad årsbeställning från Västfastigheter avseende spårarbeten på depåer, vinst vid avyttring av fordon, ökad beställning för påläggssvets samt försäkringsersättningar.</w:t>
      </w:r>
    </w:p>
    <w:p w14:paraId="7D260793" w14:textId="77777777" w:rsidR="00FB29D2" w:rsidRDefault="00BF2ED6">
      <w:pPr>
        <w:pStyle w:val="BodyText"/>
        <w:widowControl w:val="0"/>
      </w:pPr>
      <w:r>
        <w:t>Kostnaderna avviker med -30,5 mnkr. Kostnaderna för fordonsdelar och köpta tjänster kopplade till vagn är högre på grund av ökat spårunderhåll inom depåer, stigande materialpriser samt högre kostnader för vagnsunderhåll. Ökad årsbeställning från Västfastigheter avseende spårarbeten på depåer samt fler beläggningsarbeten har också inneburit högre kostnader. Tillverkning till lager avviker positivt på grund av en högre inläggningsfrekvens än budgeterat.</w:t>
      </w:r>
    </w:p>
    <w:p w14:paraId="36FD9501" w14:textId="77777777" w:rsidR="00FB29D2" w:rsidRDefault="00BF2ED6">
      <w:pPr>
        <w:pStyle w:val="BodyText"/>
        <w:widowControl w:val="0"/>
      </w:pPr>
      <w:r>
        <w:t>Elkostnaderna har varit lägre på grund av lägre förbrukning samt lägre pris.</w:t>
      </w:r>
    </w:p>
    <w:p w14:paraId="394A11EB" w14:textId="77777777" w:rsidR="00FB29D2" w:rsidRDefault="00BF2ED6">
      <w:pPr>
        <w:pStyle w:val="BodyText"/>
        <w:widowControl w:val="0"/>
      </w:pPr>
      <w:r>
        <w:t>Personalkostnader har under 2025 varit lägre än budget, vilket främst beror på lägre kostnader för spårvagnsförare med anledning av schemaeffektivisering, lägre sjukfrånvaro samt lägre kostnader för övertid till följd av förbättrat förarläge och inom fordon och driftsäkring beror lägre kostnader främst på effektivisering kopplat till depå Ringön. Inom stödverksamheten har omorganisationer lett till lägre personalkostnader. Bolagets kostnader för pensioner har påverkats både positivt och negativt, positivt utifrån att ett lägre utfall för löner och på grund av nytt pensionsavtal AKAP-KR som inneburit nya villkor som påverkat kostnader negativt.</w:t>
      </w:r>
    </w:p>
    <w:p w14:paraId="699E33F1" w14:textId="77777777" w:rsidR="00FB29D2" w:rsidRDefault="00BF2ED6">
      <w:pPr>
        <w:pStyle w:val="BodyText"/>
        <w:widowControl w:val="0"/>
      </w:pPr>
      <w:r>
        <w:t>Avskrivningskostnaderna har varit lägre än planerat under året och beror på investeringsprojekt som har utgått från investeringsplanen samt budgeterade investeringar som är försenade.</w:t>
      </w:r>
    </w:p>
    <w:p w14:paraId="753BA101" w14:textId="77777777" w:rsidR="00FB29D2" w:rsidRDefault="00BF2ED6">
      <w:pPr>
        <w:pStyle w:val="BodyText"/>
        <w:widowControl w:val="0"/>
      </w:pPr>
      <w:r>
        <w:t>Övriga rörelsekostnader är högre främst beroende på utrangering av immateriella tillgångar.</w:t>
      </w:r>
    </w:p>
    <w:p w14:paraId="0B9C9841" w14:textId="77777777" w:rsidR="00FB29D2" w:rsidRDefault="00BF2ED6">
      <w:pPr>
        <w:pStyle w:val="BodyText"/>
        <w:widowControl w:val="0"/>
      </w:pPr>
      <w:r>
        <w:rPr>
          <w:b/>
        </w:rPr>
        <w:t>Förändring mot föregående år</w:t>
      </w:r>
    </w:p>
    <w:p w14:paraId="1189B6E1" w14:textId="77777777" w:rsidR="00FB29D2" w:rsidRDefault="00BF2ED6">
      <w:pPr>
        <w:pStyle w:val="BodyText"/>
        <w:widowControl w:val="0"/>
      </w:pPr>
      <w:r>
        <w:t>Kostnaderna förändras totalt med -108,6 mnkr mot föregående år. De största förändringarna är högre kostnader för material och varor mot vagn, högre hyreskostnader med anledning av driftsättning av Ringödepån, högre personalkostnader med anledning av förbättrat förarläge och bemanning av Ringödepån samt lägre personalkostnader på grund av omorganisation inom stödverksamheten. Kostnader för avskrivningar förändras också, vilket främst beror på investeringar i nya arbetsfordon under 2025. Övriga rörelsekostnader har ökat på grund av avyttring av immateriella anläggningstillgångar under 2025.</w:t>
      </w:r>
    </w:p>
    <w:p w14:paraId="6B39913B" w14:textId="77777777" w:rsidR="00FB29D2" w:rsidRDefault="00BF2ED6">
      <w:pPr>
        <w:pStyle w:val="BodyText"/>
        <w:widowControl w:val="0"/>
      </w:pPr>
      <w:r>
        <w:rPr>
          <w:b/>
        </w:rPr>
        <w:t>Avvikelsen på helåret jämfört med lämnad prognos i augusti</w:t>
      </w:r>
    </w:p>
    <w:p w14:paraId="1A8566D1" w14:textId="77777777" w:rsidR="00FB29D2" w:rsidRDefault="00BF2ED6">
      <w:pPr>
        <w:pStyle w:val="BodyText"/>
        <w:widowControl w:val="0"/>
      </w:pPr>
      <w:r>
        <w:t>Intäkterna avviker positivt mot augustiprognosen med 25,5 mnkr, vilket främst beror på uppbokning av intäkter för Västtrafiks högvärdeskomponenter som tidigare har lagerredovisats hos Göteborgs Spårvägar samt vinst vid försäljning av fordon.</w:t>
      </w:r>
    </w:p>
    <w:p w14:paraId="0AC62670" w14:textId="77777777" w:rsidR="00FB29D2" w:rsidRDefault="00BF2ED6">
      <w:pPr>
        <w:pStyle w:val="BodyText"/>
        <w:widowControl w:val="0"/>
      </w:pPr>
      <w:r>
        <w:t>Kostnaderna avviker positivt med 21,2 mnkr mot augustiprognosen, vilket främst är kopplat till kostnader för material och tjänster mot vagn, 28,3 mnkr.</w:t>
      </w:r>
    </w:p>
    <w:p w14:paraId="6EBD473D" w14:textId="77777777" w:rsidR="00FB29D2" w:rsidRDefault="00BF2ED6">
      <w:pPr>
        <w:pStyle w:val="BodyText"/>
        <w:widowControl w:val="0"/>
      </w:pPr>
      <w:r>
        <w:t>Pensionskostnader inkl. särskild löneskatt avviker positivt om 11 mnkr. med anledning av lägre lönekostnader samt en uppdaterad prognos från KPA.</w:t>
      </w:r>
    </w:p>
    <w:p w14:paraId="6E62E3F9" w14:textId="77777777" w:rsidR="00FB29D2" w:rsidRDefault="00BF2ED6">
      <w:pPr>
        <w:pStyle w:val="BodyText"/>
        <w:widowControl w:val="0"/>
      </w:pPr>
      <w:r>
        <w:t>Övriga rörelsekostnader avviker negativt mot augustiprognosen med 8 mnkr anledning av avyttring av immateriella anläggningstillgångar.</w:t>
      </w:r>
    </w:p>
    <w:p w14:paraId="62D0A830" w14:textId="77777777" w:rsidR="00FB29D2" w:rsidRDefault="00BF2ED6">
      <w:pPr>
        <w:pStyle w:val="BodyText"/>
        <w:widowControl w:val="0"/>
      </w:pPr>
      <w:r>
        <w:t> </w:t>
      </w:r>
    </w:p>
    <w:p w14:paraId="79D12674" w14:textId="77777777" w:rsidR="00FB29D2" w:rsidRDefault="00BF2ED6">
      <w:pPr>
        <w:pStyle w:val="Rubrik3"/>
      </w:pPr>
      <w:bookmarkStart w:id="19" w:name="_Toc219980650"/>
      <w:r>
        <w:t>Resultat per affärsområde/dotterbolag eller motsvarande</w:t>
      </w:r>
      <w:bookmarkEnd w:id="19"/>
    </w:p>
    <w:tbl>
      <w:tblPr>
        <w:tblStyle w:val="Tabellrutnt"/>
        <w:tblOverlap w:val="never"/>
        <w:tblW w:w="0" w:type="auto"/>
        <w:tblLook w:val="04A0" w:firstRow="1" w:lastRow="0" w:firstColumn="1" w:lastColumn="0" w:noHBand="0" w:noVBand="1"/>
      </w:tblPr>
      <w:tblGrid>
        <w:gridCol w:w="1764"/>
        <w:gridCol w:w="1108"/>
        <w:gridCol w:w="1092"/>
        <w:gridCol w:w="1178"/>
        <w:gridCol w:w="1109"/>
        <w:gridCol w:w="1109"/>
      </w:tblGrid>
      <w:tr w:rsidR="00FB29D2" w14:paraId="00031D5D" w14:textId="77777777">
        <w:trPr>
          <w:cantSplit w:val="0"/>
        </w:trPr>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67BD3B5B" w14:textId="77777777" w:rsidR="00FB29D2" w:rsidRDefault="00BF2ED6">
            <w:pPr>
              <w:pStyle w:val="Tabellcell"/>
            </w:pPr>
            <w:r>
              <w:rPr>
                <w:b/>
              </w:rPr>
              <w:t>Belopp i mnkr</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619AFEC7" w14:textId="77777777" w:rsidR="00FB29D2" w:rsidRDefault="00BF2ED6">
            <w:pPr>
              <w:pStyle w:val="Tabellcell"/>
              <w:jc w:val="center"/>
            </w:pPr>
            <w:r>
              <w:rPr>
                <w:b/>
              </w:rPr>
              <w:t>Bokslut 2025</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122D07A4" w14:textId="77777777" w:rsidR="00FB29D2" w:rsidRDefault="00BF2ED6">
            <w:pPr>
              <w:pStyle w:val="Tabellcell"/>
              <w:jc w:val="center"/>
            </w:pPr>
            <w:r>
              <w:rPr>
                <w:b/>
              </w:rPr>
              <w:t>Budget 2025</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648ACEE8" w14:textId="77777777" w:rsidR="00FB29D2" w:rsidRDefault="00BF2ED6">
            <w:pPr>
              <w:pStyle w:val="Tabellcell"/>
              <w:jc w:val="center"/>
            </w:pPr>
            <w:r>
              <w:rPr>
                <w:b/>
              </w:rPr>
              <w:t>Avvikelse</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3C307A31" w14:textId="77777777" w:rsidR="00FB29D2" w:rsidRDefault="00BF2ED6">
            <w:pPr>
              <w:pStyle w:val="Tabellcell"/>
              <w:jc w:val="center"/>
            </w:pPr>
            <w:r>
              <w:rPr>
                <w:b/>
              </w:rPr>
              <w:t>Bokslut 2024</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2ACC7076" w14:textId="77777777" w:rsidR="00FB29D2" w:rsidRDefault="00BF2ED6">
            <w:pPr>
              <w:pStyle w:val="Tabellcell"/>
              <w:jc w:val="center"/>
            </w:pPr>
            <w:r>
              <w:rPr>
                <w:b/>
              </w:rPr>
              <w:t>Bokslut 2023</w:t>
            </w:r>
          </w:p>
        </w:tc>
      </w:tr>
      <w:tr w:rsidR="00FB29D2" w14:paraId="301F31F3" w14:textId="77777777">
        <w:trPr>
          <w:cantSplit w:val="0"/>
        </w:trPr>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128A18A2" w14:textId="77777777" w:rsidR="00FB29D2" w:rsidRDefault="00BF2ED6">
            <w:pPr>
              <w:pStyle w:val="Tabellcell"/>
            </w:pPr>
            <w:r>
              <w:t>Bolagsgemensamt</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56DFB9E5" w14:textId="77777777" w:rsidR="00FB29D2" w:rsidRDefault="00BF2ED6">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5FEB72F3" w14:textId="77777777" w:rsidR="00FB29D2" w:rsidRDefault="00BF2ED6">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66A5B3E2" w14:textId="77777777" w:rsidR="00FB29D2" w:rsidRDefault="00BF2ED6">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7DF2DC9C" w14:textId="77777777" w:rsidR="00FB29D2" w:rsidRDefault="00BF2ED6">
            <w:pPr>
              <w:pStyle w:val="Tabellcell"/>
              <w:jc w:val="right"/>
            </w:pPr>
            <w:r>
              <w:t>0,7</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69064202" w14:textId="77777777" w:rsidR="00FB29D2" w:rsidRDefault="00BF2ED6">
            <w:pPr>
              <w:pStyle w:val="Tabellcell"/>
              <w:jc w:val="right"/>
            </w:pPr>
            <w:r>
              <w:t>0</w:t>
            </w:r>
          </w:p>
        </w:tc>
      </w:tr>
      <w:tr w:rsidR="00FB29D2" w14:paraId="6F3F4E75"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7CC0E58" w14:textId="77777777" w:rsidR="00FB29D2" w:rsidRDefault="00BF2ED6">
            <w:pPr>
              <w:pStyle w:val="Tabellcell"/>
            </w:pPr>
            <w:r>
              <w:t>Trafikavtalet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A4F225B" w14:textId="77777777" w:rsidR="00FB29D2" w:rsidRDefault="00BF2ED6">
            <w:pPr>
              <w:pStyle w:val="Tabellcell"/>
              <w:jc w:val="right"/>
            </w:pPr>
            <w:r>
              <w:t>0,6</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8E5D57A" w14:textId="77777777" w:rsidR="00FB29D2" w:rsidRDefault="00BF2ED6">
            <w:pPr>
              <w:pStyle w:val="Tabellcell"/>
              <w:jc w:val="right"/>
            </w:pPr>
            <w:r>
              <w:t>1,3</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43B69AF" w14:textId="77777777" w:rsidR="00FB29D2" w:rsidRDefault="00BF2ED6">
            <w:pPr>
              <w:pStyle w:val="Tabellcell"/>
              <w:jc w:val="right"/>
            </w:pPr>
            <w:r>
              <w:t>-0,7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6523989"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B762A3E" w14:textId="77777777" w:rsidR="00FB29D2" w:rsidRDefault="00BF2ED6">
            <w:pPr>
              <w:pStyle w:val="Tabellcell"/>
              <w:jc w:val="right"/>
            </w:pPr>
            <w:r>
              <w:t>-0,7</w:t>
            </w:r>
          </w:p>
        </w:tc>
      </w:tr>
      <w:tr w:rsidR="00FB29D2" w14:paraId="5E180E78"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AB1D8B6" w14:textId="77777777" w:rsidR="00FB29D2" w:rsidRDefault="00BF2ED6">
            <w:pPr>
              <w:pStyle w:val="Tabellcell"/>
            </w:pPr>
            <w:r>
              <w:t xml:space="preserve">Drift- och underhållsavtalet </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3D3A1D9" w14:textId="77777777" w:rsidR="00FB29D2" w:rsidRDefault="00BF2ED6">
            <w:pPr>
              <w:pStyle w:val="Tabellcell"/>
              <w:jc w:val="right"/>
            </w:pPr>
            <w:r>
              <w:t>0,1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8F4D29B" w14:textId="77777777" w:rsidR="00FB29D2" w:rsidRDefault="00BF2ED6">
            <w:pPr>
              <w:pStyle w:val="Tabellcell"/>
              <w:jc w:val="right"/>
            </w:pPr>
            <w:r>
              <w:t>0,1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34056CE"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64EF626"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E45FD6C" w14:textId="77777777" w:rsidR="00FB29D2" w:rsidRDefault="00BF2ED6">
            <w:pPr>
              <w:pStyle w:val="Tabellcell"/>
              <w:jc w:val="right"/>
            </w:pPr>
            <w:r>
              <w:t>-0,1</w:t>
            </w:r>
          </w:p>
        </w:tc>
      </w:tr>
      <w:tr w:rsidR="00FB29D2" w14:paraId="207C4801"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BF003B5" w14:textId="77777777" w:rsidR="00FB29D2" w:rsidRDefault="00BF2ED6">
            <w:pPr>
              <w:pStyle w:val="Tabellcell"/>
            </w:pPr>
            <w:r>
              <w:t>Övriga avtal och projekt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1CB2919"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9F45E9B"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EDE0E76"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7DDC0E0"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13D1C88" w14:textId="77777777" w:rsidR="00FB29D2" w:rsidRDefault="00BF2ED6">
            <w:pPr>
              <w:pStyle w:val="Tabellcell"/>
              <w:jc w:val="right"/>
            </w:pPr>
            <w:r>
              <w:t>0</w:t>
            </w:r>
          </w:p>
        </w:tc>
      </w:tr>
      <w:tr w:rsidR="00FB29D2" w14:paraId="3FF91C18"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AE3037D" w14:textId="77777777" w:rsidR="00FB29D2" w:rsidRDefault="00BF2ED6">
            <w:pPr>
              <w:pStyle w:val="Tabellcell"/>
            </w:pPr>
            <w:r>
              <w:t>Rörelseresultat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209AF6F" w14:textId="77777777" w:rsidR="00FB29D2" w:rsidRDefault="00BF2ED6">
            <w:pPr>
              <w:pStyle w:val="Tabellcell"/>
              <w:jc w:val="right"/>
            </w:pPr>
            <w:r>
              <w:t>0,7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89C0F63" w14:textId="77777777" w:rsidR="00FB29D2" w:rsidRDefault="00BF2ED6">
            <w:pPr>
              <w:pStyle w:val="Tabellcell"/>
              <w:jc w:val="right"/>
            </w:pPr>
            <w:r>
              <w:t>1,4</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6072F8A" w14:textId="77777777" w:rsidR="00FB29D2" w:rsidRDefault="00BF2ED6">
            <w:pPr>
              <w:pStyle w:val="Tabellcell"/>
              <w:jc w:val="right"/>
            </w:pPr>
            <w:r>
              <w:t>-0,7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CB7B487" w14:textId="77777777" w:rsidR="00FB29D2" w:rsidRDefault="00BF2ED6">
            <w:pPr>
              <w:pStyle w:val="Tabellcell"/>
              <w:jc w:val="right"/>
            </w:pPr>
            <w:r>
              <w:t>0,7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E954806" w14:textId="77777777" w:rsidR="00FB29D2" w:rsidRDefault="00BF2ED6">
            <w:pPr>
              <w:pStyle w:val="Tabellcell"/>
              <w:jc w:val="right"/>
            </w:pPr>
            <w:r>
              <w:t>-0,8</w:t>
            </w:r>
          </w:p>
        </w:tc>
      </w:tr>
      <w:tr w:rsidR="00FB29D2" w14:paraId="762CC511"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2B79FC1" w14:textId="77777777" w:rsidR="00FB29D2" w:rsidRDefault="00BF2ED6">
            <w:pPr>
              <w:pStyle w:val="Tabellcell"/>
            </w:pPr>
            <w:r>
              <w:t>Finansiellt netto</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978A38D" w14:textId="77777777" w:rsidR="00FB29D2" w:rsidRDefault="00BF2ED6">
            <w:pPr>
              <w:pStyle w:val="Tabellcell"/>
              <w:jc w:val="right"/>
            </w:pPr>
            <w:r>
              <w:t>-0,7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4273C67" w14:textId="77777777" w:rsidR="00FB29D2" w:rsidRDefault="00BF2ED6">
            <w:pPr>
              <w:pStyle w:val="Tabellcell"/>
              <w:jc w:val="right"/>
            </w:pPr>
            <w:r>
              <w:t>-1,4</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0450FA4" w14:textId="77777777" w:rsidR="00FB29D2" w:rsidRDefault="00BF2ED6">
            <w:pPr>
              <w:pStyle w:val="Tabellcell"/>
              <w:jc w:val="right"/>
            </w:pPr>
            <w:r>
              <w:t>0,7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475C058"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460F1E5" w14:textId="77777777" w:rsidR="00FB29D2" w:rsidRDefault="00BF2ED6">
            <w:pPr>
              <w:pStyle w:val="Tabellcell"/>
              <w:jc w:val="right"/>
            </w:pPr>
            <w:r>
              <w:t>0,8</w:t>
            </w:r>
          </w:p>
        </w:tc>
      </w:tr>
      <w:tr w:rsidR="00FB29D2" w14:paraId="290D46C2"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E910614" w14:textId="77777777" w:rsidR="00FB29D2" w:rsidRDefault="00BF2ED6">
            <w:pPr>
              <w:pStyle w:val="Tabellcell"/>
            </w:pPr>
            <w:r>
              <w:t>Resultat efter fin. poster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CA2EC22"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1499709"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F34276F" w14:textId="77777777" w:rsidR="00FB29D2" w:rsidRDefault="00BF2ED6">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ED9AE21" w14:textId="77777777" w:rsidR="00FB29D2" w:rsidRDefault="00BF2ED6">
            <w:pPr>
              <w:pStyle w:val="Tabellcell"/>
              <w:jc w:val="right"/>
            </w:pPr>
            <w:r>
              <w:t>0,7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FFA1BE7" w14:textId="77777777" w:rsidR="00FB29D2" w:rsidRDefault="00BF2ED6">
            <w:pPr>
              <w:pStyle w:val="Tabellcell"/>
              <w:jc w:val="right"/>
            </w:pPr>
            <w:r>
              <w:t>0</w:t>
            </w:r>
          </w:p>
        </w:tc>
      </w:tr>
    </w:tbl>
    <w:p w14:paraId="7D605225" w14:textId="77777777" w:rsidR="00FB29D2" w:rsidRDefault="00BF2ED6">
      <w:pPr>
        <w:pStyle w:val="BodyText"/>
        <w:widowControl w:val="0"/>
        <w:spacing w:before="160"/>
      </w:pPr>
      <w:r>
        <w:t>I bokslutet för 2025 visar både Trafikavtalet och Drift- och underhållsavtalet ett positivt utfall, 38,0 mnkr respektive 1,6 mnkr. Utifrån principen om självkostnad har resultaten bokats som en skuld på motparterna Västtrafik (38,0 mnkr) och Stadsmiljöförvaltningen (1,6 mnkr).</w:t>
      </w:r>
    </w:p>
    <w:p w14:paraId="733C5531" w14:textId="77777777" w:rsidR="00FB29D2" w:rsidRDefault="00BF2ED6">
      <w:pPr>
        <w:pStyle w:val="Rubrik3"/>
      </w:pPr>
      <w:bookmarkStart w:id="20" w:name="_Toc219980651"/>
      <w:r>
        <w:t>Investeringsredovisning</w:t>
      </w:r>
      <w:bookmarkEnd w:id="20"/>
    </w:p>
    <w:p w14:paraId="6C9D2D76" w14:textId="77777777" w:rsidR="00FB29D2" w:rsidRDefault="00BF2ED6">
      <w:pPr>
        <w:pStyle w:val="Rubrik4"/>
      </w:pPr>
      <w:r>
        <w:t>Investeringar bolag</w:t>
      </w:r>
    </w:p>
    <w:tbl>
      <w:tblPr>
        <w:tblStyle w:val="Tabellrutnt"/>
        <w:tblOverlap w:val="never"/>
        <w:tblW w:w="0" w:type="auto"/>
        <w:tblLayout w:type="fixed"/>
        <w:tblLook w:val="04A0" w:firstRow="1" w:lastRow="0" w:firstColumn="1" w:lastColumn="0" w:noHBand="0" w:noVBand="1"/>
      </w:tblPr>
      <w:tblGrid>
        <w:gridCol w:w="2835"/>
        <w:gridCol w:w="1134"/>
        <w:gridCol w:w="1134"/>
        <w:gridCol w:w="1134"/>
        <w:gridCol w:w="1134"/>
      </w:tblGrid>
      <w:tr w:rsidR="00FB29D2" w14:paraId="338EEBD5" w14:textId="77777777">
        <w:trPr>
          <w:cantSplit w:val="0"/>
        </w:trPr>
        <w:tc>
          <w:tcPr>
            <w:tcW w:w="2835" w:type="dxa"/>
            <w:tcBorders>
              <w:top w:val="single" w:sz="4" w:space="0" w:color="auto"/>
              <w:left w:val="single" w:sz="4" w:space="0" w:color="auto"/>
              <w:bottom w:val="single" w:sz="18" w:space="0" w:color="auto"/>
              <w:right w:val="single" w:sz="4" w:space="0" w:color="auto"/>
            </w:tcBorders>
            <w:shd w:val="clear" w:color="auto" w:fill="E5E5E5"/>
            <w:vAlign w:val="center"/>
          </w:tcPr>
          <w:p w14:paraId="64E60106" w14:textId="77777777" w:rsidR="00FB29D2" w:rsidRDefault="00BF2ED6">
            <w:pPr>
              <w:pStyle w:val="Tabellcell"/>
            </w:pPr>
            <w:r>
              <w:rPr>
                <w:b/>
              </w:rPr>
              <w:t>Rapporterande bolag (belopp i mnkr)</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66C23871" w14:textId="77777777" w:rsidR="00FB29D2" w:rsidRDefault="00BF2ED6">
            <w:pPr>
              <w:pStyle w:val="Tabellcell"/>
              <w:jc w:val="center"/>
            </w:pPr>
            <w:r>
              <w:rPr>
                <w:b/>
              </w:rPr>
              <w:t>Utfall</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43FC2B28" w14:textId="77777777" w:rsidR="00FB29D2" w:rsidRDefault="00BF2ED6">
            <w:pPr>
              <w:pStyle w:val="Tabellcell"/>
              <w:jc w:val="center"/>
            </w:pPr>
            <w:r>
              <w:rPr>
                <w:b/>
              </w:rPr>
              <w:t>Budget</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3C106AC8" w14:textId="77777777" w:rsidR="00FB29D2" w:rsidRDefault="00BF2ED6">
            <w:pPr>
              <w:pStyle w:val="Tabellcell"/>
              <w:jc w:val="center"/>
            </w:pPr>
            <w:r>
              <w:rPr>
                <w:b/>
              </w:rPr>
              <w:t>Avvikelse</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5CDD5EE9" w14:textId="77777777" w:rsidR="00FB29D2" w:rsidRDefault="00BF2ED6">
            <w:pPr>
              <w:pStyle w:val="Tabellcell"/>
              <w:jc w:val="center"/>
            </w:pPr>
            <w:r>
              <w:rPr>
                <w:b/>
              </w:rPr>
              <w:t xml:space="preserve">Utfall </w:t>
            </w:r>
            <w:proofErr w:type="spellStart"/>
            <w:r>
              <w:rPr>
                <w:b/>
              </w:rPr>
              <w:t>fg</w:t>
            </w:r>
            <w:proofErr w:type="spellEnd"/>
            <w:r>
              <w:rPr>
                <w:b/>
              </w:rPr>
              <w:t xml:space="preserve"> år</w:t>
            </w:r>
          </w:p>
        </w:tc>
      </w:tr>
      <w:tr w:rsidR="00FB29D2" w14:paraId="79BB04EA" w14:textId="77777777">
        <w:trPr>
          <w:cantSplit w:val="0"/>
        </w:trPr>
        <w:tc>
          <w:tcPr>
            <w:tcW w:w="2835" w:type="dxa"/>
            <w:tcBorders>
              <w:top w:val="single" w:sz="18" w:space="0" w:color="auto"/>
              <w:left w:val="single" w:sz="4" w:space="0" w:color="auto"/>
              <w:bottom w:val="single" w:sz="4" w:space="0" w:color="auto"/>
              <w:right w:val="single" w:sz="4" w:space="0" w:color="auto"/>
            </w:tcBorders>
            <w:shd w:val="clear" w:color="auto" w:fill="FFFFFF"/>
            <w:vAlign w:val="center"/>
          </w:tcPr>
          <w:p w14:paraId="0CFA2665" w14:textId="77777777" w:rsidR="00FB29D2" w:rsidRDefault="00BF2ED6">
            <w:pPr>
              <w:pStyle w:val="Tabellcell"/>
            </w:pPr>
            <w:r>
              <w:t>Göteborgs Spårvägar AB</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739FA643" w14:textId="77777777" w:rsidR="00FB29D2" w:rsidRDefault="00BF2ED6">
            <w:pPr>
              <w:pStyle w:val="Tabellcell"/>
              <w:jc w:val="right"/>
            </w:pPr>
            <w:r>
              <w:t>22,7</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4EBA53AC" w14:textId="77777777" w:rsidR="00FB29D2" w:rsidRDefault="00BF2ED6">
            <w:pPr>
              <w:pStyle w:val="Tabellcell"/>
              <w:jc w:val="right"/>
            </w:pPr>
            <w:r>
              <w:t>55,9</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5D28C6B9" w14:textId="77777777" w:rsidR="00FB29D2" w:rsidRDefault="00BF2ED6">
            <w:pPr>
              <w:pStyle w:val="Tabellcell"/>
              <w:jc w:val="right"/>
            </w:pPr>
            <w:r>
              <w:t>33,2</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05C8DDD" w14:textId="77777777" w:rsidR="00FB29D2" w:rsidRDefault="00BF2ED6">
            <w:pPr>
              <w:pStyle w:val="Tabellcell"/>
              <w:jc w:val="right"/>
            </w:pPr>
            <w:r>
              <w:t>37,2</w:t>
            </w:r>
          </w:p>
        </w:tc>
      </w:tr>
    </w:tbl>
    <w:p w14:paraId="16B8769A" w14:textId="77777777" w:rsidR="00FB29D2" w:rsidRDefault="00BF2ED6">
      <w:pPr>
        <w:pStyle w:val="BodyText"/>
        <w:widowControl w:val="0"/>
        <w:spacing w:before="160"/>
      </w:pPr>
      <w:r>
        <w:t xml:space="preserve">Bolagets investering uppgår till 22,7 mnkr vilket är 33,2 mnkr lägre än budgeterat. Denna stora avvikelse beror på att två stora investeringsprojekt har </w:t>
      </w:r>
      <w:proofErr w:type="spellStart"/>
      <w:r>
        <w:t>omklassificerats</w:t>
      </w:r>
      <w:proofErr w:type="spellEnd"/>
      <w:r>
        <w:t xml:space="preserve"> och därmed utgått från investeringsplanen. Det pågår även investeringar av tunga fordon som ännu är under upphandling och inte har fakturerats.</w:t>
      </w:r>
    </w:p>
    <w:p w14:paraId="3DAAC1E5" w14:textId="77777777" w:rsidR="00FB29D2" w:rsidRDefault="00BF2ED6">
      <w:pPr>
        <w:pStyle w:val="BodyText"/>
        <w:widowControl w:val="0"/>
      </w:pPr>
      <w:r>
        <w:t xml:space="preserve">Vid </w:t>
      </w:r>
      <w:proofErr w:type="gramStart"/>
      <w:r>
        <w:t>prognos augusti</w:t>
      </w:r>
      <w:proofErr w:type="gramEnd"/>
      <w:r>
        <w:t xml:space="preserve"> gjordes bedömningen att de ovan nämnda fordonen skulle hinna anlända och faktureras samt att fler lokalanpassningar för nya längre fordon skulle ha påbörjats. Detta gör att utfallet mot </w:t>
      </w:r>
      <w:proofErr w:type="gramStart"/>
      <w:r>
        <w:t>prognos augusti</w:t>
      </w:r>
      <w:proofErr w:type="gramEnd"/>
      <w:r>
        <w:t xml:space="preserve"> avviker med 27,3 mnkr.</w:t>
      </w:r>
    </w:p>
    <w:p w14:paraId="5ADD40C3" w14:textId="77777777" w:rsidR="00FB29D2" w:rsidRDefault="00BF2ED6">
      <w:pPr>
        <w:pStyle w:val="Rubrik4"/>
      </w:pPr>
      <w:r>
        <w:t>Projektuppföljning bolag</w:t>
      </w:r>
    </w:p>
    <w:p w14:paraId="750A591F" w14:textId="77777777" w:rsidR="00FB29D2" w:rsidRDefault="00BF2ED6">
      <w:pPr>
        <w:pStyle w:val="Tabellrubrik"/>
      </w:pPr>
      <w:r>
        <w:t>Projektredovisning investeringsobjekt, pågående och kommande projekt enligt investeringsplaner för bolag</w:t>
      </w:r>
    </w:p>
    <w:tbl>
      <w:tblPr>
        <w:tblStyle w:val="Tabellrutnt"/>
        <w:tblOverlap w:val="never"/>
        <w:tblW w:w="0" w:type="auto"/>
        <w:tblLayout w:type="fixed"/>
        <w:tblLook w:val="04A0" w:firstRow="1" w:lastRow="0" w:firstColumn="1" w:lastColumn="0" w:noHBand="0" w:noVBand="1"/>
      </w:tblPr>
      <w:tblGrid>
        <w:gridCol w:w="1134"/>
        <w:gridCol w:w="794"/>
        <w:gridCol w:w="794"/>
        <w:gridCol w:w="794"/>
        <w:gridCol w:w="794"/>
        <w:gridCol w:w="737"/>
        <w:gridCol w:w="737"/>
        <w:gridCol w:w="964"/>
        <w:gridCol w:w="624"/>
      </w:tblGrid>
      <w:tr w:rsidR="00FB29D2" w14:paraId="16295F8D" w14:textId="77777777">
        <w:trPr>
          <w:cantSplit w:val="0"/>
        </w:trPr>
        <w:tc>
          <w:tcPr>
            <w:tcW w:w="1134" w:type="dxa"/>
            <w:tcBorders>
              <w:top w:val="single" w:sz="4" w:space="0" w:color="auto"/>
              <w:left w:val="single" w:sz="4" w:space="0" w:color="auto"/>
              <w:bottom w:val="nil"/>
              <w:right w:val="nil"/>
            </w:tcBorders>
            <w:shd w:val="clear" w:color="auto" w:fill="E5E5E5"/>
            <w:vAlign w:val="center"/>
          </w:tcPr>
          <w:p w14:paraId="2909E3C3" w14:textId="77777777" w:rsidR="00FB29D2" w:rsidRDefault="00BF2ED6">
            <w:pPr>
              <w:pStyle w:val="Tabellcell"/>
            </w:pPr>
            <w:r>
              <w:rPr>
                <w:b/>
              </w:rPr>
              <w:t>Projekt</w:t>
            </w:r>
          </w:p>
        </w:tc>
        <w:tc>
          <w:tcPr>
            <w:tcW w:w="1588" w:type="dxa"/>
            <w:gridSpan w:val="2"/>
            <w:tcBorders>
              <w:top w:val="single" w:sz="4" w:space="0" w:color="auto"/>
              <w:left w:val="nil"/>
              <w:bottom w:val="single" w:sz="18" w:space="0" w:color="auto"/>
              <w:right w:val="single" w:sz="4" w:space="0" w:color="auto"/>
            </w:tcBorders>
            <w:shd w:val="clear" w:color="auto" w:fill="E5E5E5"/>
            <w:vAlign w:val="center"/>
          </w:tcPr>
          <w:p w14:paraId="7B738016" w14:textId="77777777" w:rsidR="00FB29D2" w:rsidRDefault="00BF2ED6">
            <w:pPr>
              <w:pStyle w:val="Tabellcell"/>
              <w:jc w:val="center"/>
            </w:pPr>
            <w:r>
              <w:rPr>
                <w:b/>
              </w:rPr>
              <w:t>Ack. utfall</w:t>
            </w:r>
          </w:p>
        </w:tc>
        <w:tc>
          <w:tcPr>
            <w:tcW w:w="1588" w:type="dxa"/>
            <w:gridSpan w:val="2"/>
            <w:tcBorders>
              <w:top w:val="single" w:sz="4" w:space="0" w:color="auto"/>
              <w:left w:val="single" w:sz="4" w:space="0" w:color="auto"/>
              <w:bottom w:val="single" w:sz="18" w:space="0" w:color="auto"/>
              <w:right w:val="single" w:sz="4" w:space="0" w:color="auto"/>
            </w:tcBorders>
            <w:shd w:val="clear" w:color="auto" w:fill="E5E5E5"/>
            <w:vAlign w:val="center"/>
          </w:tcPr>
          <w:p w14:paraId="1905BA70" w14:textId="77777777" w:rsidR="00FB29D2" w:rsidRDefault="00BF2ED6">
            <w:pPr>
              <w:pStyle w:val="Tabellcell"/>
              <w:jc w:val="center"/>
            </w:pPr>
            <w:r>
              <w:rPr>
                <w:b/>
              </w:rPr>
              <w:t>Total projektprognos</w:t>
            </w:r>
          </w:p>
        </w:tc>
        <w:tc>
          <w:tcPr>
            <w:tcW w:w="1474" w:type="dxa"/>
            <w:gridSpan w:val="2"/>
            <w:tcBorders>
              <w:top w:val="single" w:sz="4" w:space="0" w:color="auto"/>
              <w:left w:val="single" w:sz="4" w:space="0" w:color="auto"/>
              <w:bottom w:val="single" w:sz="18" w:space="0" w:color="auto"/>
              <w:right w:val="single" w:sz="4" w:space="0" w:color="auto"/>
            </w:tcBorders>
            <w:shd w:val="clear" w:color="auto" w:fill="E5E5E5"/>
            <w:vAlign w:val="center"/>
          </w:tcPr>
          <w:p w14:paraId="0BCE2AA4" w14:textId="77777777" w:rsidR="00FB29D2" w:rsidRDefault="00BF2ED6">
            <w:pPr>
              <w:pStyle w:val="Tabellcell"/>
              <w:jc w:val="center"/>
            </w:pPr>
            <w:r>
              <w:rPr>
                <w:b/>
              </w:rPr>
              <w:t>Projektbudget</w:t>
            </w:r>
          </w:p>
        </w:tc>
        <w:tc>
          <w:tcPr>
            <w:tcW w:w="964" w:type="dxa"/>
            <w:tcBorders>
              <w:top w:val="single" w:sz="4" w:space="0" w:color="auto"/>
              <w:left w:val="single" w:sz="4" w:space="0" w:color="auto"/>
              <w:bottom w:val="single" w:sz="18" w:space="0" w:color="auto"/>
              <w:right w:val="single" w:sz="4" w:space="0" w:color="auto"/>
            </w:tcBorders>
            <w:shd w:val="clear" w:color="auto" w:fill="E5E5E5"/>
            <w:vAlign w:val="center"/>
          </w:tcPr>
          <w:p w14:paraId="7F4681C8" w14:textId="77777777" w:rsidR="00FB29D2" w:rsidRDefault="00BF2ED6">
            <w:pPr>
              <w:pStyle w:val="Tabellcell"/>
              <w:jc w:val="center"/>
            </w:pPr>
            <w:r>
              <w:rPr>
                <w:b/>
              </w:rPr>
              <w:t>Avvikelse budget/prognos</w:t>
            </w:r>
          </w:p>
        </w:tc>
        <w:tc>
          <w:tcPr>
            <w:tcW w:w="624" w:type="dxa"/>
            <w:tcBorders>
              <w:top w:val="single" w:sz="4" w:space="0" w:color="auto"/>
              <w:left w:val="single" w:sz="4" w:space="0" w:color="auto"/>
              <w:bottom w:val="nil"/>
              <w:right w:val="single" w:sz="4" w:space="0" w:color="auto"/>
            </w:tcBorders>
            <w:shd w:val="clear" w:color="auto" w:fill="E5E5E5"/>
            <w:vAlign w:val="center"/>
          </w:tcPr>
          <w:p w14:paraId="4EEDDC4D" w14:textId="77777777" w:rsidR="00FB29D2" w:rsidRDefault="00BF2ED6">
            <w:pPr>
              <w:pStyle w:val="Tabellcell"/>
              <w:jc w:val="center"/>
            </w:pPr>
            <w:r>
              <w:rPr>
                <w:b/>
              </w:rPr>
              <w:t>Slutår</w:t>
            </w:r>
          </w:p>
        </w:tc>
      </w:tr>
      <w:tr w:rsidR="00FB29D2" w14:paraId="65F67A70" w14:textId="77777777">
        <w:trPr>
          <w:cantSplit w:val="0"/>
        </w:trPr>
        <w:tc>
          <w:tcPr>
            <w:tcW w:w="1134"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14:paraId="4C435513" w14:textId="77777777" w:rsidR="00FB29D2" w:rsidRDefault="00FB29D2">
            <w:pPr>
              <w:pStyle w:val="Tabellcell"/>
            </w:pPr>
          </w:p>
        </w:tc>
        <w:tc>
          <w:tcPr>
            <w:tcW w:w="794" w:type="dxa"/>
            <w:tcBorders>
              <w:top w:val="single" w:sz="18" w:space="0" w:color="auto"/>
              <w:left w:val="nil"/>
              <w:bottom w:val="single" w:sz="18" w:space="0" w:color="auto"/>
              <w:right w:val="single" w:sz="4" w:space="0" w:color="auto"/>
            </w:tcBorders>
            <w:shd w:val="clear" w:color="auto" w:fill="E5E5E5"/>
            <w:vAlign w:val="center"/>
          </w:tcPr>
          <w:p w14:paraId="4E23A43A" w14:textId="77777777" w:rsidR="00FB29D2" w:rsidRDefault="00BF2ED6">
            <w:pPr>
              <w:pStyle w:val="Tabellcell"/>
              <w:jc w:val="center"/>
            </w:pPr>
            <w:r>
              <w:rPr>
                <w:b/>
              </w:rPr>
              <w:t>Ink</w:t>
            </w:r>
          </w:p>
        </w:tc>
        <w:tc>
          <w:tcPr>
            <w:tcW w:w="794" w:type="dxa"/>
            <w:tcBorders>
              <w:top w:val="single" w:sz="18" w:space="0" w:color="auto"/>
              <w:left w:val="single" w:sz="4" w:space="0" w:color="auto"/>
              <w:bottom w:val="single" w:sz="18" w:space="0" w:color="auto"/>
              <w:right w:val="single" w:sz="4" w:space="0" w:color="auto"/>
            </w:tcBorders>
            <w:shd w:val="clear" w:color="auto" w:fill="E5E5E5"/>
            <w:vAlign w:val="center"/>
          </w:tcPr>
          <w:p w14:paraId="4860153E" w14:textId="77777777" w:rsidR="00FB29D2" w:rsidRDefault="00BF2ED6">
            <w:pPr>
              <w:pStyle w:val="Tabellcell"/>
              <w:jc w:val="center"/>
            </w:pPr>
            <w:proofErr w:type="spellStart"/>
            <w:r>
              <w:rPr>
                <w:b/>
              </w:rPr>
              <w:t>Utg</w:t>
            </w:r>
            <w:proofErr w:type="spellEnd"/>
          </w:p>
        </w:tc>
        <w:tc>
          <w:tcPr>
            <w:tcW w:w="794" w:type="dxa"/>
            <w:tcBorders>
              <w:top w:val="single" w:sz="18" w:space="0" w:color="auto"/>
              <w:left w:val="single" w:sz="4" w:space="0" w:color="auto"/>
              <w:bottom w:val="single" w:sz="18" w:space="0" w:color="auto"/>
              <w:right w:val="single" w:sz="4" w:space="0" w:color="auto"/>
            </w:tcBorders>
            <w:shd w:val="clear" w:color="auto" w:fill="E5E5E5"/>
            <w:vAlign w:val="center"/>
          </w:tcPr>
          <w:p w14:paraId="291BD300" w14:textId="77777777" w:rsidR="00FB29D2" w:rsidRDefault="00BF2ED6">
            <w:pPr>
              <w:pStyle w:val="Tabellcell"/>
              <w:jc w:val="center"/>
            </w:pPr>
            <w:r>
              <w:rPr>
                <w:b/>
              </w:rPr>
              <w:t>Ink</w:t>
            </w:r>
          </w:p>
        </w:tc>
        <w:tc>
          <w:tcPr>
            <w:tcW w:w="794" w:type="dxa"/>
            <w:tcBorders>
              <w:top w:val="single" w:sz="18" w:space="0" w:color="auto"/>
              <w:left w:val="single" w:sz="4" w:space="0" w:color="auto"/>
              <w:bottom w:val="single" w:sz="18" w:space="0" w:color="auto"/>
              <w:right w:val="single" w:sz="4" w:space="0" w:color="auto"/>
            </w:tcBorders>
            <w:shd w:val="clear" w:color="auto" w:fill="E5E5E5"/>
            <w:vAlign w:val="center"/>
          </w:tcPr>
          <w:p w14:paraId="2B7A7AEC" w14:textId="77777777" w:rsidR="00FB29D2" w:rsidRDefault="00BF2ED6">
            <w:pPr>
              <w:pStyle w:val="Tabellcell"/>
              <w:jc w:val="center"/>
            </w:pPr>
            <w:proofErr w:type="spellStart"/>
            <w:r>
              <w:rPr>
                <w:b/>
              </w:rPr>
              <w:t>Utg</w:t>
            </w:r>
            <w:proofErr w:type="spellEnd"/>
          </w:p>
        </w:tc>
        <w:tc>
          <w:tcPr>
            <w:tcW w:w="737" w:type="dxa"/>
            <w:tcBorders>
              <w:top w:val="single" w:sz="18" w:space="0" w:color="auto"/>
              <w:left w:val="single" w:sz="4" w:space="0" w:color="auto"/>
              <w:bottom w:val="single" w:sz="18" w:space="0" w:color="auto"/>
              <w:right w:val="single" w:sz="4" w:space="0" w:color="auto"/>
            </w:tcBorders>
            <w:shd w:val="clear" w:color="auto" w:fill="E5E5E5"/>
            <w:vAlign w:val="center"/>
          </w:tcPr>
          <w:p w14:paraId="14CA73FF" w14:textId="77777777" w:rsidR="00FB29D2" w:rsidRDefault="00BF2ED6">
            <w:pPr>
              <w:pStyle w:val="Tabellcell"/>
              <w:jc w:val="center"/>
            </w:pPr>
            <w:r>
              <w:rPr>
                <w:b/>
              </w:rPr>
              <w:t>Ink</w:t>
            </w:r>
          </w:p>
        </w:tc>
        <w:tc>
          <w:tcPr>
            <w:tcW w:w="737" w:type="dxa"/>
            <w:tcBorders>
              <w:top w:val="single" w:sz="18" w:space="0" w:color="auto"/>
              <w:left w:val="single" w:sz="4" w:space="0" w:color="auto"/>
              <w:bottom w:val="single" w:sz="18" w:space="0" w:color="auto"/>
              <w:right w:val="single" w:sz="4" w:space="0" w:color="auto"/>
            </w:tcBorders>
            <w:shd w:val="clear" w:color="auto" w:fill="E5E5E5"/>
            <w:vAlign w:val="center"/>
          </w:tcPr>
          <w:p w14:paraId="35D0C352" w14:textId="77777777" w:rsidR="00FB29D2" w:rsidRDefault="00BF2ED6">
            <w:pPr>
              <w:pStyle w:val="Tabellcell"/>
              <w:jc w:val="center"/>
            </w:pPr>
            <w:proofErr w:type="spellStart"/>
            <w:r>
              <w:rPr>
                <w:b/>
              </w:rPr>
              <w:t>Utg</w:t>
            </w:r>
            <w:proofErr w:type="spellEnd"/>
          </w:p>
        </w:tc>
        <w:tc>
          <w:tcPr>
            <w:tcW w:w="964" w:type="dxa"/>
            <w:tcBorders>
              <w:top w:val="single" w:sz="18" w:space="0" w:color="auto"/>
              <w:left w:val="single" w:sz="4" w:space="0" w:color="auto"/>
              <w:bottom w:val="single" w:sz="18" w:space="0" w:color="auto"/>
              <w:right w:val="single" w:sz="4" w:space="0" w:color="auto"/>
            </w:tcBorders>
            <w:shd w:val="clear" w:color="auto" w:fill="E5E5E5"/>
            <w:vAlign w:val="center"/>
          </w:tcPr>
          <w:p w14:paraId="24E1F7C8" w14:textId="77777777" w:rsidR="00FB29D2" w:rsidRDefault="00BF2ED6">
            <w:pPr>
              <w:pStyle w:val="Tabellcell"/>
              <w:jc w:val="center"/>
            </w:pPr>
            <w:r>
              <w:rPr>
                <w:b/>
              </w:rPr>
              <w:t>Netto</w:t>
            </w:r>
          </w:p>
        </w:tc>
        <w:tc>
          <w:tcPr>
            <w:tcW w:w="624" w:type="dxa"/>
            <w:tcBorders>
              <w:top w:val="nil"/>
              <w:left w:val="single" w:sz="4" w:space="0" w:color="auto"/>
              <w:bottom w:val="single" w:sz="18" w:space="0" w:color="auto"/>
              <w:right w:val="single" w:sz="4" w:space="0" w:color="auto"/>
            </w:tcBorders>
            <w:shd w:val="clear" w:color="auto" w:fill="E5E5E5"/>
            <w:tcMar>
              <w:top w:w="0" w:type="dxa"/>
              <w:left w:w="0" w:type="dxa"/>
              <w:bottom w:w="0" w:type="dxa"/>
              <w:right w:w="0" w:type="dxa"/>
            </w:tcMar>
            <w:vAlign w:val="center"/>
          </w:tcPr>
          <w:p w14:paraId="0BEB8914" w14:textId="77777777" w:rsidR="00FB29D2" w:rsidRDefault="00FB29D2">
            <w:pPr>
              <w:pStyle w:val="Tabellcell"/>
            </w:pPr>
          </w:p>
        </w:tc>
      </w:tr>
      <w:tr w:rsidR="00FB29D2" w14:paraId="6968BB1D" w14:textId="77777777">
        <w:trPr>
          <w:cantSplit w:val="0"/>
        </w:trPr>
        <w:tc>
          <w:tcPr>
            <w:tcW w:w="7372" w:type="dxa"/>
            <w:gridSpan w:val="9"/>
            <w:tcBorders>
              <w:top w:val="single" w:sz="18" w:space="0" w:color="auto"/>
              <w:left w:val="single" w:sz="4" w:space="0" w:color="auto"/>
              <w:bottom w:val="single" w:sz="4" w:space="0" w:color="auto"/>
              <w:right w:val="single" w:sz="4" w:space="0" w:color="auto"/>
            </w:tcBorders>
            <w:shd w:val="clear" w:color="auto" w:fill="FFFFFF"/>
            <w:vAlign w:val="center"/>
          </w:tcPr>
          <w:p w14:paraId="3BC4010A" w14:textId="77777777" w:rsidR="00FB29D2" w:rsidRDefault="00BF2ED6">
            <w:pPr>
              <w:pStyle w:val="Tabellcell"/>
            </w:pPr>
            <w:r>
              <w:rPr>
                <w:b/>
              </w:rPr>
              <w:t>Projekt beslutade av KF</w:t>
            </w:r>
          </w:p>
        </w:tc>
      </w:tr>
      <w:tr w:rsidR="00FB29D2" w14:paraId="1E2238C6"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1DF499C"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E17CC1A"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1FDC09D"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ED2FF3B"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F965D1E"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7F03D8"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1C334EF" w14:textId="77777777" w:rsidR="00FB29D2" w:rsidRDefault="00FB29D2">
            <w:pPr>
              <w:pStyle w:val="Tabellcell"/>
            </w:pPr>
          </w:p>
        </w:tc>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8D288E4" w14:textId="77777777" w:rsidR="00FB29D2" w:rsidRDefault="00FB29D2">
            <w:pPr>
              <w:pStyle w:val="Tabellcell"/>
            </w:pPr>
          </w:p>
        </w:tc>
        <w:tc>
          <w:tcPr>
            <w:tcW w:w="6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DA8B64" w14:textId="77777777" w:rsidR="00FB29D2" w:rsidRDefault="00FB29D2">
            <w:pPr>
              <w:pStyle w:val="Tabellcell"/>
            </w:pPr>
          </w:p>
        </w:tc>
      </w:tr>
      <w:tr w:rsidR="00FB29D2" w14:paraId="1028054E"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1E8B54F"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7806612"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D8C098"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D614B07"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8883425"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C4538CC"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6A0BD48" w14:textId="77777777" w:rsidR="00FB29D2" w:rsidRDefault="00FB29D2">
            <w:pPr>
              <w:pStyle w:val="Tabellcell"/>
            </w:pPr>
          </w:p>
        </w:tc>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8A3E76" w14:textId="77777777" w:rsidR="00FB29D2" w:rsidRDefault="00FB29D2">
            <w:pPr>
              <w:pStyle w:val="Tabellcell"/>
            </w:pPr>
          </w:p>
        </w:tc>
        <w:tc>
          <w:tcPr>
            <w:tcW w:w="6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58AFD67" w14:textId="77777777" w:rsidR="00FB29D2" w:rsidRDefault="00FB29D2">
            <w:pPr>
              <w:pStyle w:val="Tabellcell"/>
            </w:pPr>
          </w:p>
        </w:tc>
      </w:tr>
      <w:tr w:rsidR="00FB29D2" w14:paraId="49ABF239"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602D3E"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6B48E4D"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7C3CD3A"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DA51F30"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2AA243F"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43D3405"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0160F5" w14:textId="77777777" w:rsidR="00FB29D2" w:rsidRDefault="00FB29D2">
            <w:pPr>
              <w:pStyle w:val="Tabellcell"/>
            </w:pPr>
          </w:p>
        </w:tc>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F1793C" w14:textId="77777777" w:rsidR="00FB29D2" w:rsidRDefault="00FB29D2">
            <w:pPr>
              <w:pStyle w:val="Tabellcell"/>
            </w:pPr>
          </w:p>
        </w:tc>
        <w:tc>
          <w:tcPr>
            <w:tcW w:w="6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0C4D1A7" w14:textId="77777777" w:rsidR="00FB29D2" w:rsidRDefault="00FB29D2">
            <w:pPr>
              <w:pStyle w:val="Tabellcell"/>
            </w:pPr>
          </w:p>
        </w:tc>
      </w:tr>
      <w:tr w:rsidR="00FB29D2" w14:paraId="7539703D" w14:textId="77777777">
        <w:trPr>
          <w:cantSplit w:val="0"/>
        </w:trPr>
        <w:tc>
          <w:tcPr>
            <w:tcW w:w="737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478469A" w14:textId="77777777" w:rsidR="00FB29D2" w:rsidRDefault="00BF2ED6">
            <w:pPr>
              <w:pStyle w:val="Tabellcell"/>
            </w:pPr>
            <w:r>
              <w:rPr>
                <w:b/>
              </w:rPr>
              <w:t>Projekt beslutade av styrelse</w:t>
            </w:r>
          </w:p>
        </w:tc>
      </w:tr>
      <w:tr w:rsidR="00FB29D2" w14:paraId="77C08BC0"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793BC63" w14:textId="77777777" w:rsidR="00FB29D2" w:rsidRDefault="00BF2ED6">
            <w:pPr>
              <w:pStyle w:val="Tabellcell"/>
            </w:pPr>
            <w:r>
              <w:t>Upprustning av detaljmåleriet</w:t>
            </w: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9AEEEEB"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1075C1" w14:textId="77777777" w:rsidR="00FB29D2" w:rsidRDefault="00BF2ED6">
            <w:pPr>
              <w:pStyle w:val="Tabellcell"/>
            </w:pPr>
            <w:r>
              <w:t>9,8</w:t>
            </w: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D82326D"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6D533C0" w14:textId="77777777" w:rsidR="00FB29D2" w:rsidRDefault="00BF2ED6">
            <w:pPr>
              <w:pStyle w:val="Tabellcell"/>
            </w:pPr>
            <w:r>
              <w:t>9,8</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C2F1069"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149566D0" w14:textId="77777777" w:rsidR="00FB29D2" w:rsidRDefault="00BF2ED6">
            <w:pPr>
              <w:pStyle w:val="Tabellcell"/>
            </w:pPr>
            <w:r>
              <w:t>10,0</w:t>
            </w:r>
          </w:p>
        </w:tc>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295E4CC" w14:textId="77777777" w:rsidR="00FB29D2" w:rsidRDefault="00FB29D2">
            <w:pPr>
              <w:pStyle w:val="Tabellcell"/>
            </w:pPr>
          </w:p>
        </w:tc>
        <w:tc>
          <w:tcPr>
            <w:tcW w:w="624" w:type="dxa"/>
            <w:tcBorders>
              <w:top w:val="single" w:sz="4" w:space="0" w:color="auto"/>
              <w:left w:val="single" w:sz="4" w:space="0" w:color="auto"/>
              <w:bottom w:val="single" w:sz="4" w:space="0" w:color="auto"/>
              <w:right w:val="single" w:sz="4" w:space="0" w:color="auto"/>
            </w:tcBorders>
            <w:shd w:val="clear" w:color="auto" w:fill="FFFFFF"/>
          </w:tcPr>
          <w:p w14:paraId="0B773889" w14:textId="77777777" w:rsidR="00FB29D2" w:rsidRDefault="00BF2ED6">
            <w:pPr>
              <w:pStyle w:val="Tabellcell"/>
            </w:pPr>
            <w:r>
              <w:t>2025</w:t>
            </w:r>
          </w:p>
        </w:tc>
      </w:tr>
      <w:tr w:rsidR="00FB29D2" w14:paraId="24364C29"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0BE367E" w14:textId="77777777" w:rsidR="00FB29D2" w:rsidRDefault="00BF2ED6">
            <w:pPr>
              <w:pStyle w:val="Tabellcell"/>
            </w:pPr>
            <w:r>
              <w:t>Montagebil ers för WFX976</w:t>
            </w: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C3D4F6D"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71CBF4C" w14:textId="77777777" w:rsidR="00FB29D2" w:rsidRDefault="00BF2ED6">
            <w:pPr>
              <w:pStyle w:val="Tabellcell"/>
            </w:pPr>
            <w:r>
              <w:t>10,5</w:t>
            </w: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E39104"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93F0816" w14:textId="77777777" w:rsidR="00FB29D2" w:rsidRDefault="00BF2ED6">
            <w:pPr>
              <w:pStyle w:val="Tabellcell"/>
            </w:pPr>
            <w:r>
              <w:t>10,5</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22638B2"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0F59AC28" w14:textId="77777777" w:rsidR="00FB29D2" w:rsidRDefault="00BF2ED6">
            <w:pPr>
              <w:pStyle w:val="Tabellcell"/>
            </w:pPr>
            <w:r>
              <w:t>10,5</w:t>
            </w:r>
          </w:p>
        </w:tc>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E2E2371" w14:textId="77777777" w:rsidR="00FB29D2" w:rsidRDefault="00FB29D2">
            <w:pPr>
              <w:pStyle w:val="Tabellcell"/>
            </w:pPr>
          </w:p>
        </w:tc>
        <w:tc>
          <w:tcPr>
            <w:tcW w:w="624" w:type="dxa"/>
            <w:tcBorders>
              <w:top w:val="single" w:sz="4" w:space="0" w:color="auto"/>
              <w:left w:val="single" w:sz="4" w:space="0" w:color="auto"/>
              <w:bottom w:val="single" w:sz="4" w:space="0" w:color="auto"/>
              <w:right w:val="single" w:sz="4" w:space="0" w:color="auto"/>
            </w:tcBorders>
            <w:shd w:val="clear" w:color="auto" w:fill="FFFFFF"/>
          </w:tcPr>
          <w:p w14:paraId="4B129DA3" w14:textId="77777777" w:rsidR="00FB29D2" w:rsidRDefault="00BF2ED6">
            <w:pPr>
              <w:pStyle w:val="Tabellcell"/>
            </w:pPr>
            <w:r>
              <w:t>2025</w:t>
            </w:r>
          </w:p>
        </w:tc>
      </w:tr>
      <w:tr w:rsidR="00FB29D2" w14:paraId="212F992B"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214817B" w14:textId="77777777" w:rsidR="00FB29D2" w:rsidRDefault="00BF2ED6">
            <w:pPr>
              <w:pStyle w:val="Tabellcell"/>
            </w:pPr>
            <w:r>
              <w:t>Montagebil ers för EGN377</w:t>
            </w: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7B83B8C"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1D17154" w14:textId="77777777" w:rsidR="00FB29D2" w:rsidRDefault="00BF2ED6">
            <w:pPr>
              <w:pStyle w:val="Tabellcell"/>
            </w:pPr>
            <w:r>
              <w:t>10,5</w:t>
            </w: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AF58CF1"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2CC2E9" w14:textId="77777777" w:rsidR="00FB29D2" w:rsidRDefault="00BF2ED6">
            <w:pPr>
              <w:pStyle w:val="Tabellcell"/>
            </w:pPr>
            <w:r>
              <w:t>10,5</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53E1174"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09305A72" w14:textId="77777777" w:rsidR="00FB29D2" w:rsidRDefault="00BF2ED6">
            <w:pPr>
              <w:pStyle w:val="Tabellcell"/>
            </w:pPr>
            <w:r>
              <w:t>10,5</w:t>
            </w:r>
          </w:p>
        </w:tc>
        <w:tc>
          <w:tcPr>
            <w:tcW w:w="964" w:type="dxa"/>
            <w:tcBorders>
              <w:top w:val="single" w:sz="4" w:space="0" w:color="auto"/>
              <w:left w:val="single" w:sz="4" w:space="0" w:color="auto"/>
              <w:right w:val="nil"/>
            </w:tcBorders>
            <w:tcMar>
              <w:top w:w="0" w:type="dxa"/>
              <w:left w:w="0" w:type="dxa"/>
              <w:bottom w:w="0" w:type="dxa"/>
              <w:right w:w="0" w:type="dxa"/>
            </w:tcMar>
          </w:tcPr>
          <w:p w14:paraId="1F0A8FF2" w14:textId="77777777" w:rsidR="00FB29D2" w:rsidRDefault="00FB29D2">
            <w:pPr>
              <w:pStyle w:val="Tabellcell"/>
            </w:pPr>
          </w:p>
        </w:tc>
        <w:tc>
          <w:tcPr>
            <w:tcW w:w="624" w:type="dxa"/>
            <w:tcBorders>
              <w:top w:val="single" w:sz="4" w:space="0" w:color="auto"/>
              <w:left w:val="nil"/>
              <w:bottom w:val="single" w:sz="4" w:space="0" w:color="auto"/>
              <w:right w:val="single" w:sz="4" w:space="0" w:color="auto"/>
            </w:tcBorders>
            <w:shd w:val="clear" w:color="auto" w:fill="FFFFFF"/>
          </w:tcPr>
          <w:p w14:paraId="73410A28" w14:textId="77777777" w:rsidR="00FB29D2" w:rsidRDefault="00BF2ED6">
            <w:pPr>
              <w:pStyle w:val="Tabellcell"/>
            </w:pPr>
            <w:r>
              <w:t>2025</w:t>
            </w:r>
          </w:p>
        </w:tc>
      </w:tr>
      <w:tr w:rsidR="00FB29D2" w14:paraId="411A912B"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A13CB2E" w14:textId="77777777" w:rsidR="00FB29D2" w:rsidRDefault="00BF2ED6">
            <w:pPr>
              <w:pStyle w:val="Tabellcell"/>
            </w:pPr>
            <w:r>
              <w:t>Skenrensare ersättare för RSS061</w:t>
            </w: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4668545"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C136E94" w14:textId="77777777" w:rsidR="00FB29D2" w:rsidRDefault="00BF2ED6">
            <w:pPr>
              <w:pStyle w:val="Tabellcell"/>
            </w:pPr>
            <w:r>
              <w:t>6,8</w:t>
            </w: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085D451" w14:textId="77777777" w:rsidR="00FB29D2" w:rsidRDefault="00FB29D2">
            <w:pPr>
              <w:pStyle w:val="Tabellcell"/>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2F1C3E" w14:textId="77777777" w:rsidR="00FB29D2" w:rsidRDefault="00BF2ED6">
            <w:pPr>
              <w:pStyle w:val="Tabellcell"/>
            </w:pPr>
            <w:r>
              <w:t>10,0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F5B30D1" w14:textId="77777777" w:rsidR="00FB29D2" w:rsidRDefault="00FB29D2">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186CA7E8" w14:textId="77777777" w:rsidR="00FB29D2" w:rsidRDefault="00BF2ED6">
            <w:pPr>
              <w:pStyle w:val="Tabellcell"/>
            </w:pPr>
            <w:r>
              <w:t>10,0</w:t>
            </w:r>
          </w:p>
        </w:tc>
        <w:tc>
          <w:tcPr>
            <w:tcW w:w="964" w:type="dxa"/>
            <w:tcBorders>
              <w:left w:val="single" w:sz="4" w:space="0" w:color="auto"/>
              <w:right w:val="nil"/>
            </w:tcBorders>
            <w:tcMar>
              <w:top w:w="0" w:type="dxa"/>
              <w:left w:w="0" w:type="dxa"/>
              <w:bottom w:w="0" w:type="dxa"/>
              <w:right w:w="0" w:type="dxa"/>
            </w:tcMar>
          </w:tcPr>
          <w:p w14:paraId="1B722B00" w14:textId="77777777" w:rsidR="00FB29D2" w:rsidRDefault="00FB29D2">
            <w:pPr>
              <w:pStyle w:val="Tabellcell"/>
            </w:pPr>
          </w:p>
        </w:tc>
        <w:tc>
          <w:tcPr>
            <w:tcW w:w="62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tcPr>
          <w:p w14:paraId="05E86FED" w14:textId="77777777" w:rsidR="00FB29D2" w:rsidRDefault="00FB29D2">
            <w:pPr>
              <w:pStyle w:val="Tabellcell"/>
            </w:pPr>
          </w:p>
        </w:tc>
      </w:tr>
    </w:tbl>
    <w:p w14:paraId="333FEFB2" w14:textId="77777777" w:rsidR="00FB29D2" w:rsidRDefault="00BF2ED6">
      <w:pPr>
        <w:pStyle w:val="BodyText"/>
        <w:widowControl w:val="0"/>
        <w:spacing w:before="160"/>
      </w:pPr>
      <w:r>
        <w:t>Bolaget har inga investeringar som beslutats av KF.</w:t>
      </w:r>
    </w:p>
    <w:p w14:paraId="36DB47AC" w14:textId="77777777" w:rsidR="00FB29D2" w:rsidRDefault="00BF2ED6">
      <w:pPr>
        <w:pStyle w:val="BodyText"/>
        <w:widowControl w:val="0"/>
      </w:pPr>
      <w:r>
        <w:t>Av ovan investeringar är upprustning av detaljmåleriet samt de två montagebilarna slutförda och aktiverade under 2025. Skenrensaren är ännu inte slutfakturerad utan beräknas bli det under början av 2026.</w:t>
      </w:r>
    </w:p>
    <w:p w14:paraId="15595A51" w14:textId="77777777" w:rsidR="00FB29D2" w:rsidRDefault="00BF2ED6">
      <w:pPr>
        <w:pStyle w:val="BodyText"/>
        <w:widowControl w:val="0"/>
      </w:pPr>
      <w:r>
        <w:t> </w:t>
      </w:r>
    </w:p>
    <w:p w14:paraId="1FEA9E2F" w14:textId="77777777" w:rsidR="00FB29D2" w:rsidRDefault="00BF2ED6">
      <w:pPr>
        <w:pStyle w:val="Rubrik3"/>
      </w:pPr>
      <w:bookmarkStart w:id="21" w:name="_Toc219980652"/>
      <w:r>
        <w:t>Bokslut bolag</w:t>
      </w:r>
      <w:bookmarkEnd w:id="21"/>
    </w:p>
    <w:p w14:paraId="06C332DD" w14:textId="77777777" w:rsidR="00FB29D2" w:rsidRDefault="00BF2ED6">
      <w:pPr>
        <w:pStyle w:val="BodyText"/>
        <w:widowControl w:val="0"/>
      </w:pPr>
      <w:r>
        <w:t>I bokslutet för 2025 blev utfallet mot budget 38,0 mnkr inom ramen för Trafikavtalet samt 1,6 mnkr inom ramen för Drift- och-underhållsavtalet. Utifrån principen om självkostnad har resultaten bokats upp som skuld på motparterna Västtrafik (38,0 mnkr) och Drift- och underhållsavtalet (1,6 mnkr).</w:t>
      </w:r>
    </w:p>
    <w:p w14:paraId="09830E32" w14:textId="77777777" w:rsidR="00FB29D2" w:rsidRDefault="00BF2ED6">
      <w:pPr>
        <w:pStyle w:val="BodyText"/>
        <w:widowControl w:val="0"/>
      </w:pPr>
      <w:r>
        <w:t>Omsättningen uppgick till 1 640,6 mnkr (1 532,0), vilket är en ökning med 7 procent jämfört med 2024, och nettoresultatet slutade på 0 (0,7) mnkr.</w:t>
      </w:r>
    </w:p>
    <w:p w14:paraId="03C459B4" w14:textId="77777777" w:rsidR="00FB29D2" w:rsidRDefault="00BF2ED6">
      <w:pPr>
        <w:pStyle w:val="BodyText"/>
        <w:widowControl w:val="0"/>
      </w:pPr>
      <w:r>
        <w:t>Övriga kortfristiga fordringar är 24,3 mnkr lägre än föregående år. Föregående år fanns en fordran avseende likvidavräkning gentemot Intraservice om 14,0 mnkr som inte finns i år. Skattefordringarna var 12,6 mnkr högre föregående år. Anledningen till föregående års höga skattefordran berodde på att det i balansen fanns betald preliminärskatt för båda åren 2023 och 2024.</w:t>
      </w:r>
    </w:p>
    <w:p w14:paraId="1EB1F116" w14:textId="77777777" w:rsidR="00FB29D2" w:rsidRDefault="00BF2ED6">
      <w:pPr>
        <w:pStyle w:val="BodyText"/>
        <w:widowControl w:val="0"/>
      </w:pPr>
      <w:r>
        <w:t xml:space="preserve">Upplupna kostnader och förutbetalda intäkter är 46,6 mnkr högre än föregående år. Detta beror främst på överskotten i TA och </w:t>
      </w:r>
      <w:proofErr w:type="spellStart"/>
      <w:r>
        <w:t>DoU</w:t>
      </w:r>
      <w:proofErr w:type="spellEnd"/>
      <w:r>
        <w:t xml:space="preserve"> om totalt 39,6 mnkr. Upplupna pensionskostnader är 18,8 mnkr högre än föregående år, men upplupen kostnad för särskild löneskatt är 13,5 mnkr lägre än föregående år. De högre upplupna pensionskostnaderna beror på att GS bytt pensionsavtal till AKAP-KR, där fakturering av pensionsavgifter sker sex månader i efterskott. Den lägre upplupna kostnaden för särskild löneskatt i år beror på att föregående år innehöll särskild löneskatt för både 2023 och 2024.</w:t>
      </w:r>
    </w:p>
    <w:p w14:paraId="2B7A904A" w14:textId="77777777" w:rsidR="00FB29D2" w:rsidRDefault="00BF2ED6">
      <w:pPr>
        <w:pStyle w:val="BodyText"/>
        <w:widowControl w:val="0"/>
      </w:pPr>
      <w:r>
        <w:t> </w:t>
      </w:r>
    </w:p>
    <w:p w14:paraId="17FE42AC" w14:textId="77777777" w:rsidR="00FB29D2" w:rsidRDefault="00BF2ED6">
      <w:pPr>
        <w:pStyle w:val="BodyText"/>
        <w:widowControl w:val="0"/>
      </w:pPr>
      <w:r>
        <w:t> </w:t>
      </w:r>
    </w:p>
    <w:p w14:paraId="10508785" w14:textId="77777777" w:rsidR="00FB29D2" w:rsidRDefault="00BF2ED6">
      <w:pPr>
        <w:pStyle w:val="BodyText"/>
        <w:widowControl w:val="0"/>
      </w:pPr>
      <w:r>
        <w:t> </w:t>
      </w:r>
    </w:p>
    <w:p w14:paraId="7C6BB448" w14:textId="77777777" w:rsidR="00FB29D2" w:rsidRDefault="00BF2ED6">
      <w:pPr>
        <w:pStyle w:val="Rubrik3"/>
      </w:pPr>
      <w:bookmarkStart w:id="22" w:name="_Toc219980653"/>
      <w:r>
        <w:t>Lån och lånetak för bolag</w:t>
      </w:r>
      <w:bookmarkEnd w:id="22"/>
    </w:p>
    <w:tbl>
      <w:tblPr>
        <w:tblStyle w:val="Tabellrutnt"/>
        <w:tblOverlap w:val="never"/>
        <w:tblW w:w="0" w:type="auto"/>
        <w:tblLook w:val="04A0" w:firstRow="1" w:lastRow="0" w:firstColumn="1" w:lastColumn="0" w:noHBand="0" w:noVBand="1"/>
      </w:tblPr>
      <w:tblGrid>
        <w:gridCol w:w="1472"/>
        <w:gridCol w:w="1472"/>
        <w:gridCol w:w="1472"/>
        <w:gridCol w:w="1472"/>
        <w:gridCol w:w="1472"/>
      </w:tblGrid>
      <w:tr w:rsidR="00FB29D2" w14:paraId="561C6A09" w14:textId="77777777">
        <w:trPr>
          <w:cantSplit w:val="0"/>
        </w:trPr>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4AF02C7C" w14:textId="77777777" w:rsidR="00FB29D2" w:rsidRDefault="00BF2ED6">
            <w:pPr>
              <w:pStyle w:val="Tabellcell"/>
            </w:pPr>
            <w:r>
              <w:rPr>
                <w:b/>
              </w:rPr>
              <w:t>Lån mnkr</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7AE77479" w14:textId="77777777" w:rsidR="00FB29D2" w:rsidRDefault="00BF2ED6">
            <w:pPr>
              <w:pStyle w:val="Tabellcell"/>
            </w:pPr>
            <w:r>
              <w:rPr>
                <w:b/>
              </w:rPr>
              <w:t>Volym 31 dec 2025</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1C6C4796" w14:textId="77777777" w:rsidR="00FB29D2" w:rsidRDefault="00BF2ED6">
            <w:pPr>
              <w:pStyle w:val="Tabellcell"/>
            </w:pPr>
            <w:r>
              <w:rPr>
                <w:b/>
              </w:rPr>
              <w:t>Lånetak 2025</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01030243" w14:textId="77777777" w:rsidR="00FB29D2" w:rsidRDefault="00BF2ED6">
            <w:pPr>
              <w:pStyle w:val="Tabellcell"/>
            </w:pPr>
            <w:r>
              <w:rPr>
                <w:b/>
              </w:rPr>
              <w:t>Volym 31 dec 2024</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6B7A83BA" w14:textId="77777777" w:rsidR="00FB29D2" w:rsidRDefault="00BF2ED6">
            <w:pPr>
              <w:pStyle w:val="Tabellcell"/>
            </w:pPr>
            <w:r>
              <w:rPr>
                <w:b/>
              </w:rPr>
              <w:t>Beslutat lånetak 2026</w:t>
            </w:r>
          </w:p>
        </w:tc>
      </w:tr>
      <w:tr w:rsidR="00FB29D2" w14:paraId="4C1C80D3" w14:textId="77777777">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E5E5E5"/>
            <w:vAlign w:val="center"/>
          </w:tcPr>
          <w:p w14:paraId="1B1CBD34" w14:textId="77777777" w:rsidR="00FB29D2" w:rsidRDefault="00BF2ED6">
            <w:pPr>
              <w:pStyle w:val="Tabellcell"/>
            </w:pPr>
            <w:r>
              <w:rPr>
                <w:b/>
              </w:rPr>
              <w:t>Summa</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389336E1" w14:textId="77777777" w:rsidR="00FB29D2" w:rsidRDefault="00BF2ED6">
            <w:pPr>
              <w:pStyle w:val="Tabellcell"/>
              <w:jc w:val="right"/>
            </w:pPr>
            <w:r>
              <w:t>11,3</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02AD180E" w14:textId="77777777" w:rsidR="00FB29D2" w:rsidRDefault="00BF2ED6">
            <w:pPr>
              <w:pStyle w:val="Tabellcell"/>
              <w:jc w:val="right"/>
            </w:pPr>
            <w:r>
              <w:t>300</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45807B0C" w14:textId="77777777" w:rsidR="00FB29D2" w:rsidRDefault="00BF2ED6">
            <w:pPr>
              <w:pStyle w:val="Tabellcell"/>
              <w:jc w:val="right"/>
            </w:pPr>
            <w:r>
              <w:t>82,6</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6CFD4A69" w14:textId="77777777" w:rsidR="00FB29D2" w:rsidRDefault="00BF2ED6">
            <w:pPr>
              <w:pStyle w:val="Tabellcell"/>
              <w:jc w:val="right"/>
            </w:pPr>
            <w:r>
              <w:t>300</w:t>
            </w:r>
          </w:p>
        </w:tc>
      </w:tr>
    </w:tbl>
    <w:p w14:paraId="7C870108" w14:textId="77777777" w:rsidR="00FB29D2" w:rsidRDefault="00BF2ED6">
      <w:pPr>
        <w:pStyle w:val="BodyText"/>
        <w:widowControl w:val="0"/>
        <w:spacing w:before="160"/>
      </w:pPr>
      <w:r>
        <w:t>Bolaget har inga lån utan en internlimit hos Göteborgs Stad (Nordea) om 300 mnkr. Den huvudsakliga anledningen till bolagets förbättrade likviditet jämfört med föregående år beror på överskott i Trafikavtalet (TA) om 38,0 mnkr och i Drifts och Underhållsavtalet (</w:t>
      </w:r>
      <w:proofErr w:type="spellStart"/>
      <w:r>
        <w:t>DoU</w:t>
      </w:r>
      <w:proofErr w:type="spellEnd"/>
      <w:r>
        <w:t xml:space="preserve">) om 1,6 mnkr. Föregående år redovisades i stället underskott i båda avtalen, TA -6,3 mnkr och </w:t>
      </w:r>
      <w:proofErr w:type="spellStart"/>
      <w:r>
        <w:t>DoU</w:t>
      </w:r>
      <w:proofErr w:type="spellEnd"/>
      <w:r>
        <w:t xml:space="preserve"> -12,2 mnkr. Övriga kortfristiga fordringar har under året minskat med 25,1 mnkr, vilket får en positiv likviditetseffekt. Dessutom sker fakturering av pensionspremier i det nya pensionsavtalet AKAP-KR sex månader i efterskott. Eftersom pensionspremier om 21,8 mnkr för andra halvåret 2025 inte var betalda vid årsskiftet får det en positiv likviditetseffekt.</w:t>
      </w:r>
    </w:p>
    <w:p w14:paraId="623F7CB3" w14:textId="77777777" w:rsidR="00FB29D2" w:rsidRDefault="00BF2ED6">
      <w:pPr>
        <w:pStyle w:val="Rubrik1-Sidbryt"/>
      </w:pPr>
      <w:bookmarkStart w:id="23" w:name="_Toc219980654"/>
      <w:r>
        <w:t>Övrig uppföljning till kommunledningen</w:t>
      </w:r>
      <w:bookmarkEnd w:id="23"/>
    </w:p>
    <w:p w14:paraId="389FD557" w14:textId="77777777" w:rsidR="00FB29D2" w:rsidRDefault="00BF2ED6">
      <w:pPr>
        <w:pStyle w:val="Rubrik2"/>
      </w:pPr>
      <w:bookmarkStart w:id="24" w:name="_Toc219980655"/>
      <w:r>
        <w:t>Kommunalt ändamål och befogenheter</w:t>
      </w:r>
      <w:bookmarkEnd w:id="24"/>
    </w:p>
    <w:p w14:paraId="66C83D2D" w14:textId="77777777" w:rsidR="00FB29D2" w:rsidRDefault="00BF2ED6">
      <w:pPr>
        <w:pStyle w:val="BodyText"/>
        <w:widowControl w:val="0"/>
      </w:pPr>
      <w:r>
        <w:t>Det kommunala ändamålet framgår av ägardirektiv och bolagsordning.</w:t>
      </w:r>
    </w:p>
    <w:p w14:paraId="2ADFC7A2" w14:textId="77777777" w:rsidR="00FB29D2" w:rsidRDefault="00BF2ED6">
      <w:pPr>
        <w:pStyle w:val="BodyText"/>
        <w:widowControl w:val="0"/>
      </w:pPr>
      <w:r>
        <w:t>Göteborgs Stad och Västra Götalandsregionens ändamål med bolaget är att tillgodose Göteborgs Stads och Västra Götalands läns behov av en effektiv, miljö- och kvalitetsmässig spårvägstrafik samt därtill hörande tjänster och produkter inom trafikområdet.</w:t>
      </w:r>
    </w:p>
    <w:p w14:paraId="65FA54FC" w14:textId="77777777" w:rsidR="00FB29D2" w:rsidRDefault="00BF2ED6">
      <w:pPr>
        <w:pStyle w:val="BodyText"/>
        <w:widowControl w:val="0"/>
      </w:pPr>
      <w:r>
        <w:t>Styrelsen och Verkställande direktören bedömer att verksamheten är i linje med kommunens ändamål med sitt ägande av bolaget och att bolaget har följt de principer som framgår av 3 paragrafen i bolagsordningen</w:t>
      </w:r>
    </w:p>
    <w:p w14:paraId="4F9B3E28" w14:textId="77777777" w:rsidR="00FB29D2" w:rsidRDefault="00BF2ED6">
      <w:pPr>
        <w:pStyle w:val="Rubrik2"/>
      </w:pPr>
      <w:bookmarkStart w:id="25" w:name="_Toc219980656"/>
      <w:r>
        <w:t>Utvärdering av system för styrning, uppföljning och kontroll</w:t>
      </w:r>
      <w:bookmarkEnd w:id="25"/>
    </w:p>
    <w:p w14:paraId="11AC72FB" w14:textId="77777777" w:rsidR="00FB29D2" w:rsidRDefault="00BF2ED6">
      <w:pPr>
        <w:pStyle w:val="Rubrik3"/>
      </w:pPr>
      <w:bookmarkStart w:id="26" w:name="_Toc219980657"/>
      <w:r>
        <w:t>Kort ingress</w:t>
      </w:r>
      <w:bookmarkEnd w:id="26"/>
    </w:p>
    <w:p w14:paraId="1FC3B09F" w14:textId="77777777" w:rsidR="00FB29D2" w:rsidRDefault="00BF2ED6">
      <w:pPr>
        <w:pStyle w:val="Rubrik3"/>
      </w:pPr>
      <w:bookmarkStart w:id="27" w:name="_Toc219980658"/>
      <w:r>
        <w:t>Uppföljningsfråga</w:t>
      </w:r>
      <w:bookmarkEnd w:id="27"/>
    </w:p>
    <w:tbl>
      <w:tblPr>
        <w:tblStyle w:val="Tabellrutnt"/>
        <w:tblOverlap w:val="never"/>
        <w:tblW w:w="0" w:type="auto"/>
        <w:tblLook w:val="04A0" w:firstRow="1" w:lastRow="0" w:firstColumn="1" w:lastColumn="0" w:noHBand="0" w:noVBand="1"/>
      </w:tblPr>
      <w:tblGrid>
        <w:gridCol w:w="3680"/>
        <w:gridCol w:w="3680"/>
      </w:tblGrid>
      <w:tr w:rsidR="00FB29D2" w14:paraId="6A2CEDBA" w14:textId="77777777">
        <w:trPr>
          <w:cantSplit w:val="0"/>
          <w:tblHeader/>
        </w:trPr>
        <w:tc>
          <w:tcPr>
            <w:tcW w:w="3685" w:type="dxa"/>
            <w:tcBorders>
              <w:left w:val="single" w:sz="4" w:space="0" w:color="auto"/>
              <w:bottom w:val="single" w:sz="18" w:space="0" w:color="auto"/>
              <w:right w:val="nil"/>
            </w:tcBorders>
            <w:shd w:val="clear" w:color="auto" w:fill="E5E5E5"/>
          </w:tcPr>
          <w:p w14:paraId="315B8866" w14:textId="77777777" w:rsidR="00FB29D2" w:rsidRDefault="00BF2ED6">
            <w:pPr>
              <w:pStyle w:val="Tabellcell"/>
            </w:pPr>
            <w:r>
              <w:rPr>
                <w:b/>
              </w:rPr>
              <w:t>Uppföljningsfråga</w:t>
            </w:r>
          </w:p>
        </w:tc>
        <w:tc>
          <w:tcPr>
            <w:tcW w:w="3685" w:type="dxa"/>
            <w:tcBorders>
              <w:left w:val="nil"/>
              <w:bottom w:val="single" w:sz="18" w:space="0" w:color="auto"/>
              <w:right w:val="single" w:sz="4" w:space="0" w:color="auto"/>
            </w:tcBorders>
            <w:shd w:val="clear" w:color="auto" w:fill="E5E5E5"/>
          </w:tcPr>
          <w:p w14:paraId="1F8C7338" w14:textId="77777777" w:rsidR="00FB29D2" w:rsidRDefault="00BF2ED6">
            <w:pPr>
              <w:pStyle w:val="Tabellcell"/>
            </w:pPr>
            <w:r>
              <w:rPr>
                <w:b/>
              </w:rPr>
              <w:t>Kommentar</w:t>
            </w:r>
          </w:p>
        </w:tc>
      </w:tr>
      <w:tr w:rsidR="00FB29D2" w14:paraId="6D6596D5" w14:textId="77777777">
        <w:trPr>
          <w:cantSplit w:val="0"/>
        </w:trPr>
        <w:tc>
          <w:tcPr>
            <w:tcW w:w="3685" w:type="dxa"/>
            <w:tcBorders>
              <w:top w:val="single" w:sz="18" w:space="0" w:color="auto"/>
              <w:left w:val="single" w:sz="4" w:space="0" w:color="auto"/>
              <w:bottom w:val="single" w:sz="4" w:space="0" w:color="auto"/>
              <w:right w:val="nil"/>
            </w:tcBorders>
          </w:tcPr>
          <w:p w14:paraId="58A8F639" w14:textId="77777777" w:rsidR="00FB29D2" w:rsidRDefault="00BF2ED6">
            <w:pPr>
              <w:pStyle w:val="Tabellcell"/>
            </w:pPr>
            <w:r>
              <w:rPr>
                <w:b/>
              </w:rPr>
              <w:t>Sammanfattande bedömning</w:t>
            </w:r>
            <w:r>
              <w:br/>
            </w:r>
            <w:r>
              <w:rPr>
                <w:i/>
              </w:rPr>
              <w:t>Sammanfatta de viktigaste iakttagelserna från er utvärdering genom att redovisa era styrkor respektive förbättringsområden i förhållande till riktlinjens krav på systematik.</w:t>
            </w:r>
            <w:r>
              <w:br/>
            </w:r>
            <w:r>
              <w:rPr>
                <w:i/>
              </w:rPr>
              <w:t>Kommentera även kort eventuella åtgärder ni vidtagit med anledning av förra årets iakttagelser.</w:t>
            </w:r>
            <w:r>
              <w:br/>
            </w:r>
            <w:r>
              <w:br/>
            </w:r>
          </w:p>
        </w:tc>
        <w:tc>
          <w:tcPr>
            <w:tcW w:w="3685" w:type="dxa"/>
            <w:tcBorders>
              <w:top w:val="single" w:sz="18" w:space="0" w:color="auto"/>
              <w:left w:val="nil"/>
              <w:bottom w:val="single" w:sz="4" w:space="0" w:color="auto"/>
              <w:right w:val="single" w:sz="4" w:space="0" w:color="auto"/>
            </w:tcBorders>
          </w:tcPr>
          <w:p w14:paraId="64FAD9FF" w14:textId="77777777" w:rsidR="00FB29D2" w:rsidRDefault="00BF2ED6">
            <w:pPr>
              <w:pStyle w:val="Tabellcell"/>
              <w:widowControl w:val="0"/>
            </w:pPr>
            <w:r>
              <w:rPr>
                <w:b/>
              </w:rPr>
              <w:t>Kultur</w:t>
            </w:r>
          </w:p>
          <w:p w14:paraId="0689FE0E" w14:textId="77777777" w:rsidR="00FB29D2" w:rsidRDefault="00BF2ED6">
            <w:pPr>
              <w:pStyle w:val="Tabellcell"/>
              <w:widowControl w:val="0"/>
            </w:pPr>
            <w:r>
              <w:t>Ledningen på samtliga nivåer är medvetna om att det personliga agerande är en självklarhet att följa förhållningssätt, regelverk och överenskomna arbetssätt. Ledarskapets betydelse för kulturen tas upp på bolagets chefsträffar som sker 5-6 gånger per år. Ledningen på samtliga nivåer uppmuntrar till tidig och öppen dialog och verkar därmed för ett gott kommunikativt klimat i organisationen. Det som vi ser kan förbättras är återkopplingen i olika frågeställningar. Systemstöden är något som behöver ses över för att förbättra återkopplingen till medarbete inom olika områden.</w:t>
            </w:r>
          </w:p>
          <w:p w14:paraId="76E42092" w14:textId="77777777" w:rsidR="00FB29D2" w:rsidRDefault="00BF2ED6">
            <w:pPr>
              <w:pStyle w:val="Tabellcell"/>
              <w:widowControl w:val="0"/>
            </w:pPr>
            <w:r>
              <w:rPr>
                <w:b/>
              </w:rPr>
              <w:t>Planering och uppföljning</w:t>
            </w:r>
          </w:p>
          <w:p w14:paraId="28C277CD" w14:textId="77777777" w:rsidR="00FB29D2" w:rsidRDefault="00BF2ED6">
            <w:pPr>
              <w:pStyle w:val="Tabellcell"/>
              <w:widowControl w:val="0"/>
            </w:pPr>
            <w:r>
              <w:t>Arbetssätt finns på plats för att styrelsen ska erhålla relevant information för att kunna ta sitt ansvar i planeringen av verksamheten. Styrelsen planerar in fördjupningspunkter på varje styrelsemöte samt att två strategidagar anordnas där styrelse och bolagsledning följer upp resultat och ser över långsiktig planering och riskhantering.</w:t>
            </w:r>
            <w:r>
              <w:br/>
              <w:t>Organisationen har systematiska arbetssätt för att identifiera och ta hänsyn till behov och förväntningar hos dem verksamheten riktar sig till. En intressentanalys genomförs årligen där kunden identifierats som den viktigaste intressenten. Till exempel har Göteborgs Spårvägar, Västtrafik och Stadsmiljöförvaltningen ett genomarbetat trepartssamarbete där målsättningar och gemensamma utmaningar hanteras. Till exempel hanteras underhållsplaneringen av bana, fordon och depå i dessa samverkansforum.</w:t>
            </w:r>
          </w:p>
          <w:p w14:paraId="477AC991" w14:textId="77777777" w:rsidR="00FB29D2" w:rsidRDefault="00BF2ED6">
            <w:pPr>
              <w:pStyle w:val="Tabellcell"/>
              <w:widowControl w:val="0"/>
            </w:pPr>
            <w:r>
              <w:t xml:space="preserve">Uppföljningen i bolaget fokuserar på det som är väsentligt för att bedöma måluppfyllelse och förmåga att utföra grunduppdrag. Bolaget har utifrån intressentanalyser format </w:t>
            </w:r>
            <w:proofErr w:type="gramStart"/>
            <w:r>
              <w:t>5 st</w:t>
            </w:r>
            <w:proofErr w:type="gramEnd"/>
            <w:r>
              <w:t xml:space="preserve"> bolagsmål med nedbrutna delmål, vilka följs upp kontinuerligt och analyseras i månadsrapporter under året. Månadsrapporterna hanteras i styrelsen och förmedlas både internt och externt till våra intressenter.</w:t>
            </w:r>
          </w:p>
          <w:p w14:paraId="4C938E33" w14:textId="77777777" w:rsidR="00FB29D2" w:rsidRDefault="00BF2ED6">
            <w:pPr>
              <w:pStyle w:val="Tabellcell"/>
              <w:widowControl w:val="0"/>
            </w:pPr>
            <w:r>
              <w:t>Organisationen har utarbetade arbetssätt som möjliggör planering, genomförande, uppföljning och utveckling inom olika områden.</w:t>
            </w:r>
          </w:p>
          <w:p w14:paraId="53C32227" w14:textId="77777777" w:rsidR="00FB29D2" w:rsidRDefault="00BF2ED6">
            <w:pPr>
              <w:pStyle w:val="Tabellcell"/>
              <w:widowControl w:val="0"/>
            </w:pPr>
            <w:r>
              <w:rPr>
                <w:b/>
              </w:rPr>
              <w:t>Riskbaserad styrning</w:t>
            </w:r>
          </w:p>
          <w:p w14:paraId="00021407" w14:textId="77777777" w:rsidR="00FB29D2" w:rsidRDefault="00BF2ED6">
            <w:pPr>
              <w:pStyle w:val="Tabellcell"/>
              <w:widowControl w:val="0"/>
            </w:pPr>
            <w:r>
              <w:t>Ledningen på samtliga nivåer arbetar aktivt med riskhantering utifrån lagar, verksamhetens mål, skyldigheter och uppdrag. Högsta ledningen har urskilt och sammanställt verksamhetens viktigaste risker i en samlad riskbild (i affärsplanen) som också beskriver hur riskerna åtgärdas utifrån vad som är påverkbart och vad som går att åstadkomma inom befintliga ramar. Utifrån den samlade riskbilden har organisationen tagit fram en internkontrollplan. Den innehåller ett urval områden, processer och moment som är viktiga att granska för att kunna bekräfta att redan beslutade åtgärder eller kontroller fungerar som det är tänkt.</w:t>
            </w:r>
          </w:p>
          <w:p w14:paraId="6AC70C8F" w14:textId="77777777" w:rsidR="00FB29D2" w:rsidRDefault="00BF2ED6">
            <w:pPr>
              <w:pStyle w:val="Tabellcell"/>
              <w:widowControl w:val="0"/>
            </w:pPr>
            <w:r>
              <w:t xml:space="preserve">Arbetssätt för att hantera allvarliga avvikelser och brister utan dröjsmål är väl förankrade hos medarbetare och chefer. Brister och avvikelser som uppstår rapporteras </w:t>
            </w:r>
            <w:proofErr w:type="gramStart"/>
            <w:r>
              <w:t>t.ex.</w:t>
            </w:r>
            <w:proofErr w:type="gramEnd"/>
            <w:r>
              <w:t xml:space="preserve"> omgående till närmast överordnad chef och läggs in i systemstöd, inom exempelvis arbetsmiljörelaterade frågor. Inom några områden finns behov av att utveckla IT-stödet för avvikelsehantering, exempelvis inom miljöområdet.</w:t>
            </w:r>
          </w:p>
          <w:p w14:paraId="7139B6BE" w14:textId="77777777" w:rsidR="00FB29D2" w:rsidRDefault="00BF2ED6">
            <w:pPr>
              <w:pStyle w:val="Tabellcell"/>
              <w:widowControl w:val="0"/>
            </w:pPr>
            <w:r>
              <w:t>Ledningen på samtliga nivåer säkerställer att organisationen analyserar brister och problem för att förstå och åtgärda grundorsaken till att de uppstått. Högsta ledningen ser till att brister och problem som är särskilt allvarliga, som återkommer eller som förekommer inom flera verksamheter tas om hand i förbättringsarbetet.</w:t>
            </w:r>
          </w:p>
          <w:p w14:paraId="4E249B45" w14:textId="77777777" w:rsidR="00FB29D2" w:rsidRDefault="00BF2ED6">
            <w:pPr>
              <w:pStyle w:val="Tabellcell"/>
              <w:widowControl w:val="0"/>
            </w:pPr>
            <w:r>
              <w:t xml:space="preserve">Ledningen på samtliga nivåer säkerställer att förbättringsarbete och verksamhetsutveckling bedrivs utifrån behov och upplevelser hos dem verksamheten riktar sig till. Exempelvis är bolaget aktivt i </w:t>
            </w:r>
            <w:proofErr w:type="spellStart"/>
            <w:r>
              <w:t>dialogforum</w:t>
            </w:r>
            <w:proofErr w:type="spellEnd"/>
            <w:r>
              <w:t xml:space="preserve"> såsom funktionshinderråd.</w:t>
            </w:r>
          </w:p>
        </w:tc>
      </w:tr>
    </w:tbl>
    <w:p w14:paraId="6D585160" w14:textId="77777777" w:rsidR="00FB29D2" w:rsidRDefault="00BF2ED6">
      <w:pPr>
        <w:pStyle w:val="Rubrik2"/>
      </w:pPr>
      <w:bookmarkStart w:id="28" w:name="_Toc219980659"/>
      <w:r>
        <w:t>Övriga beslut och/eller uppdrag</w:t>
      </w:r>
      <w:bookmarkEnd w:id="28"/>
    </w:p>
    <w:p w14:paraId="7036D492" w14:textId="77777777" w:rsidR="00FB29D2" w:rsidRDefault="00BF2ED6">
      <w:pPr>
        <w:pStyle w:val="BodyText"/>
        <w:widowControl w:val="0"/>
      </w:pPr>
      <w:r>
        <w:rPr>
          <w:b/>
          <w:u w:val="single"/>
        </w:rPr>
        <w:t>Uppdrag Ny spårvagn M33/34:</w:t>
      </w:r>
    </w:p>
    <w:p w14:paraId="0285D942" w14:textId="77777777" w:rsidR="00FB29D2" w:rsidRDefault="00BF2ED6">
      <w:pPr>
        <w:pStyle w:val="BodyText"/>
        <w:widowControl w:val="0"/>
      </w:pPr>
      <w:r>
        <w:t>I slutet av 2019 överläts avtalet med leverantören Bombardier/</w:t>
      </w:r>
      <w:proofErr w:type="spellStart"/>
      <w:r>
        <w:t>Kiepe</w:t>
      </w:r>
      <w:proofErr w:type="spellEnd"/>
      <w:r>
        <w:t xml:space="preserve"> (numera Alstom) från Göteborgs Stad till Västra Götalandsregionen. Västtrafik gav genom avtal Göteborgs Spårvägar uppdraget att driva arbetet med hemtagning av nya spårvagnar av modell M33 och M34. Uppdraget bedrivs av Göteborgs Spårvägar i projektform med en styrgrupp där Västtrafik är representerade.</w:t>
      </w:r>
    </w:p>
    <w:p w14:paraId="63EC61F6" w14:textId="77777777" w:rsidR="00FB29D2" w:rsidRDefault="00BF2ED6">
      <w:pPr>
        <w:pStyle w:val="BodyText"/>
        <w:widowControl w:val="0"/>
      </w:pPr>
      <w:r>
        <w:t xml:space="preserve">M33: Hela </w:t>
      </w:r>
      <w:proofErr w:type="spellStart"/>
      <w:r>
        <w:t>batchen</w:t>
      </w:r>
      <w:proofErr w:type="spellEnd"/>
      <w:r>
        <w:t xml:space="preserve"> om 40 vagnar har slutlevererats under 2023 och går i trafik. Vagnarna fortsatt ej fullt övertagna (FTO) på grund av brister i dokumentation och utförande.</w:t>
      </w:r>
    </w:p>
    <w:p w14:paraId="7E7701EB" w14:textId="77777777" w:rsidR="00FB29D2" w:rsidRDefault="00BF2ED6">
      <w:pPr>
        <w:pStyle w:val="BodyText"/>
        <w:widowControl w:val="0"/>
      </w:pPr>
      <w:r>
        <w:t xml:space="preserve">M34: </w:t>
      </w:r>
      <w:proofErr w:type="gramStart"/>
      <w:r>
        <w:t>60 st</w:t>
      </w:r>
      <w:proofErr w:type="gramEnd"/>
      <w:r>
        <w:t xml:space="preserve"> längre vagnar, M34, har beställts av Västra Götalandsregionen. Leveranstakten har inte varit som förväntad under 2024 eller 2025. I slutet av 2025 var 18 vagnar levererade till Göteborg.</w:t>
      </w:r>
    </w:p>
    <w:p w14:paraId="36918643" w14:textId="77777777" w:rsidR="00FB29D2" w:rsidRDefault="00BF2ED6">
      <w:pPr>
        <w:pStyle w:val="BodyText"/>
        <w:widowControl w:val="0"/>
      </w:pPr>
      <w:r>
        <w:t>Förseningar i projektet beror på flera orsaker varav de enskilt största är pandemi, krig i Ukraina samt flytt av produktion.</w:t>
      </w:r>
    </w:p>
    <w:p w14:paraId="07D895C7" w14:textId="77777777" w:rsidR="00FB29D2" w:rsidRDefault="00BF2ED6">
      <w:pPr>
        <w:pStyle w:val="BodyText"/>
        <w:widowControl w:val="0"/>
      </w:pPr>
      <w:r>
        <w:rPr>
          <w:b/>
          <w:u w:val="single"/>
        </w:rPr>
        <w:t>Uppdrag teknisk projektledning Ny spårvagn M35:</w:t>
      </w:r>
    </w:p>
    <w:p w14:paraId="1AF6BA2D" w14:textId="77777777" w:rsidR="00FB29D2" w:rsidRDefault="00BF2ED6">
      <w:pPr>
        <w:pStyle w:val="BodyText"/>
        <w:widowControl w:val="0"/>
      </w:pPr>
      <w:r>
        <w:t>Arbetet med upphandling av nästa spårvagnsmodell är uppstartat efter beslut i regionen. Projektet leds av Västtrafik. GS har i uppdrag att leda det tekniska delprojektet och ingår i projektets styrgrupp.</w:t>
      </w:r>
    </w:p>
    <w:p w14:paraId="065123BF" w14:textId="77777777" w:rsidR="00FB29D2" w:rsidRDefault="00BF2ED6">
      <w:pPr>
        <w:pStyle w:val="BodyText"/>
        <w:widowControl w:val="0"/>
      </w:pPr>
      <w:r>
        <w:rPr>
          <w:b/>
          <w:u w:val="single"/>
        </w:rPr>
        <w:t>Ny spårvagnsdepå Ringön etapp II:</w:t>
      </w:r>
    </w:p>
    <w:p w14:paraId="71D5103B" w14:textId="77777777" w:rsidR="00FB29D2" w:rsidRDefault="00BF2ED6">
      <w:pPr>
        <w:pStyle w:val="BodyText"/>
        <w:widowControl w:val="0"/>
      </w:pPr>
      <w:r>
        <w:t xml:space="preserve">Under 2020 invigdes spårvagnsdepå Ringön etapp I. Våren 2024 invigdes även etapp II. Byggnationen har genomförts av Västra Götalandsregionen via Västfastigheter. Under sommaren 2024 uppdagades vid urspårning att spårbredden på anläggningens pelarspår under belastning har ökat i för stor utsträckning. Flera av anläggningens spår stängdes av. Spårpelarna byttes under året och anläggningen kunde </w:t>
      </w:r>
      <w:proofErr w:type="spellStart"/>
      <w:r>
        <w:t>driftas</w:t>
      </w:r>
      <w:proofErr w:type="spellEnd"/>
      <w:r>
        <w:t xml:space="preserve"> sommaren 2025. Verksamheten påverkas dock fortsatt av brister i fastigheten vad gäller till exempel kapacitet i in- och utgående vatten och avlopp.</w:t>
      </w:r>
    </w:p>
    <w:p w14:paraId="15DC89F8" w14:textId="77777777" w:rsidR="00FB29D2" w:rsidRDefault="00BF2ED6">
      <w:pPr>
        <w:pStyle w:val="Rubrik1-Sidbryt"/>
      </w:pPr>
      <w:bookmarkStart w:id="29" w:name="_Toc219980660"/>
      <w:r>
        <w:t>Styrinformation till styrelsen</w:t>
      </w:r>
      <w:bookmarkEnd w:id="29"/>
    </w:p>
    <w:p w14:paraId="48A59D2D" w14:textId="77777777" w:rsidR="00FB29D2" w:rsidRDefault="00BF2ED6">
      <w:pPr>
        <w:pStyle w:val="Rubrik1-Sidbryt"/>
      </w:pPr>
      <w:bookmarkStart w:id="30" w:name="_Toc219980661"/>
      <w:r>
        <w:t>Redovisning av nämndens och styrelsens uppdrag</w:t>
      </w:r>
      <w:bookmarkEnd w:id="30"/>
    </w:p>
    <w:p w14:paraId="148B9606" w14:textId="77777777" w:rsidR="00FB29D2" w:rsidRDefault="00BF2ED6">
      <w:pPr>
        <w:pStyle w:val="Rubrik2"/>
      </w:pPr>
      <w:bookmarkStart w:id="31" w:name="_Toc219980662"/>
      <w:r>
        <w:t>Redovisning av uppdrag från Kommunfullmäktige och Kommunstyrelsen i och utanför budget (begränsad kommentar)</w:t>
      </w:r>
      <w:bookmarkEnd w:id="31"/>
    </w:p>
    <w:tbl>
      <w:tblPr>
        <w:tblStyle w:val="Tabellrutnt"/>
        <w:tblOverlap w:val="never"/>
        <w:tblW w:w="0" w:type="auto"/>
        <w:tblLook w:val="04A0" w:firstRow="1" w:lastRow="0" w:firstColumn="1" w:lastColumn="0" w:noHBand="0" w:noVBand="1"/>
      </w:tblPr>
      <w:tblGrid>
        <w:gridCol w:w="3680"/>
        <w:gridCol w:w="3680"/>
      </w:tblGrid>
      <w:tr w:rsidR="00FB29D2" w14:paraId="01FA3354" w14:textId="77777777">
        <w:trPr>
          <w:cantSplit w:val="0"/>
          <w:tblHeader/>
        </w:trPr>
        <w:tc>
          <w:tcPr>
            <w:tcW w:w="3685" w:type="dxa"/>
            <w:tcBorders>
              <w:left w:val="single" w:sz="4" w:space="0" w:color="auto"/>
              <w:bottom w:val="single" w:sz="18" w:space="0" w:color="auto"/>
              <w:right w:val="nil"/>
            </w:tcBorders>
            <w:shd w:val="clear" w:color="auto" w:fill="E5E5E5"/>
          </w:tcPr>
          <w:p w14:paraId="4A073361" w14:textId="77777777" w:rsidR="00FB29D2" w:rsidRDefault="00BF2ED6">
            <w:pPr>
              <w:pStyle w:val="Tabellcell"/>
            </w:pPr>
            <w:r>
              <w:rPr>
                <w:b/>
              </w:rPr>
              <w:t>Uppdrag från KF/KS</w:t>
            </w:r>
          </w:p>
        </w:tc>
        <w:tc>
          <w:tcPr>
            <w:tcW w:w="3685" w:type="dxa"/>
            <w:tcBorders>
              <w:left w:val="nil"/>
              <w:bottom w:val="single" w:sz="18" w:space="0" w:color="auto"/>
              <w:right w:val="single" w:sz="4" w:space="0" w:color="auto"/>
            </w:tcBorders>
            <w:shd w:val="clear" w:color="auto" w:fill="E5E5E5"/>
          </w:tcPr>
          <w:p w14:paraId="114AE9DB" w14:textId="77777777" w:rsidR="00FB29D2" w:rsidRDefault="00BF2ED6">
            <w:pPr>
              <w:pStyle w:val="Tabellcell"/>
            </w:pPr>
            <w:r>
              <w:rPr>
                <w:b/>
              </w:rPr>
              <w:t>Uppdragets status och kommentar</w:t>
            </w:r>
          </w:p>
        </w:tc>
      </w:tr>
      <w:tr w:rsidR="00FB29D2" w14:paraId="1A31F7B3" w14:textId="77777777">
        <w:trPr>
          <w:cantSplit w:val="0"/>
        </w:trPr>
        <w:tc>
          <w:tcPr>
            <w:tcW w:w="3685" w:type="dxa"/>
            <w:tcBorders>
              <w:top w:val="single" w:sz="18" w:space="0" w:color="auto"/>
              <w:left w:val="single" w:sz="4" w:space="0" w:color="auto"/>
              <w:bottom w:val="single" w:sz="4" w:space="0" w:color="auto"/>
              <w:right w:val="nil"/>
            </w:tcBorders>
          </w:tcPr>
          <w:p w14:paraId="768FDCE7" w14:textId="77777777" w:rsidR="00FB29D2" w:rsidRDefault="00BF2ED6">
            <w:pPr>
              <w:pStyle w:val="Tabellcell"/>
            </w:pPr>
            <w:r>
              <w:rPr>
                <w:b/>
              </w:rPr>
              <w:t>Samtliga nämnder och styrelser i Göteborgs Stad får i uppdrag att identifiera befattningar i sina verksamheter som bedöms vara utsatta för hög risk för infiltration. Uppdraget ska ha genomförts sex månader efter kommunfullmäktiges beslut.</w:t>
            </w:r>
            <w:r>
              <w:br/>
            </w:r>
            <w:r>
              <w:br/>
            </w:r>
            <w:r>
              <w:rPr>
                <w:b/>
                <w:i/>
              </w:rPr>
              <w:t>Uppdragsår</w:t>
            </w:r>
            <w:r>
              <w:br/>
            </w:r>
            <w:r>
              <w:rPr>
                <w:i/>
              </w:rPr>
              <w:t>2024</w:t>
            </w:r>
            <w:r>
              <w:br/>
            </w:r>
            <w:r>
              <w:rPr>
                <w:b/>
                <w:i/>
              </w:rPr>
              <w:t>Typ av KF/KS-uppdrag</w:t>
            </w:r>
            <w:r>
              <w:br/>
            </w:r>
            <w:r>
              <w:rPr>
                <w:i/>
              </w:rPr>
              <w:t>Uppdrag utanför budgetbeslut</w:t>
            </w:r>
          </w:p>
        </w:tc>
        <w:tc>
          <w:tcPr>
            <w:tcW w:w="3685" w:type="dxa"/>
            <w:tcBorders>
              <w:top w:val="single" w:sz="18" w:space="0" w:color="auto"/>
              <w:left w:val="nil"/>
              <w:bottom w:val="single" w:sz="4" w:space="0" w:color="auto"/>
              <w:right w:val="single" w:sz="4" w:space="0" w:color="auto"/>
            </w:tcBorders>
          </w:tcPr>
          <w:p w14:paraId="081A7D63" w14:textId="77777777" w:rsidR="00FB29D2" w:rsidRDefault="00BF2ED6">
            <w:pPr>
              <w:pStyle w:val="Tabellcell"/>
              <w:spacing w:before="20"/>
            </w:pPr>
            <w:r>
              <w:rPr>
                <w:noProof/>
              </w:rPr>
              <w:drawing>
                <wp:inline distT="0" distB="0" distL="0" distR="0" wp14:anchorId="604E4D98" wp14:editId="37039BC8">
                  <wp:extent cx="152400" cy="152400"/>
                  <wp:effectExtent l="0" t="0" r="0" b="0"/>
                  <wp:docPr id="100" name="Rdc6638f08a68499b" descr="Avslu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c6638f08a68499b"/>
                          <pic:cNvPicPr/>
                        </pic:nvPicPr>
                        <pic:blipFill>
                          <a:blip r:embed="rId8" cstate="print"/>
                          <a:stretch>
                            <a:fillRect/>
                          </a:stretch>
                        </pic:blipFill>
                        <pic:spPr>
                          <a:xfrm>
                            <a:off x="0" y="0"/>
                            <a:ext cx="152400" cy="152400"/>
                          </a:xfrm>
                          <a:prstGeom prst="rect">
                            <a:avLst/>
                          </a:prstGeom>
                        </pic:spPr>
                      </pic:pic>
                    </a:graphicData>
                  </a:graphic>
                </wp:inline>
              </w:drawing>
            </w:r>
            <w:r>
              <w:t xml:space="preserve"> Avslutad</w:t>
            </w:r>
            <w:r>
              <w:br/>
            </w:r>
          </w:p>
          <w:p w14:paraId="7B4905EB" w14:textId="77777777" w:rsidR="00FB29D2" w:rsidRDefault="00BF2ED6">
            <w:pPr>
              <w:pStyle w:val="Tabellcell"/>
              <w:widowControl w:val="0"/>
            </w:pPr>
            <w:r>
              <w:rPr>
                <w:b/>
              </w:rPr>
              <w:t>Halvår 2 2025</w:t>
            </w:r>
            <w:r>
              <w:t xml:space="preserve"> </w:t>
            </w:r>
            <w:r>
              <w:rPr>
                <w:b/>
              </w:rPr>
              <w:t>2026-01-14</w:t>
            </w:r>
            <w:r>
              <w:br/>
            </w:r>
          </w:p>
          <w:p w14:paraId="3B750919" w14:textId="77777777" w:rsidR="00FB29D2" w:rsidRDefault="00BF2ED6">
            <w:pPr>
              <w:pStyle w:val="Tabellcell"/>
              <w:widowControl w:val="0"/>
            </w:pPr>
            <w:r>
              <w:t>Protokoll nr 5 sammanträde bolagsstyrelsen 2025-09-17 Göteborgs Spårvägar AB</w:t>
            </w:r>
          </w:p>
          <w:p w14:paraId="13EAE052" w14:textId="77777777" w:rsidR="00FB29D2" w:rsidRDefault="00BF2ED6">
            <w:pPr>
              <w:pStyle w:val="Tabellcell"/>
              <w:widowControl w:val="0"/>
            </w:pPr>
            <w:r>
              <w:t>§74</w:t>
            </w:r>
          </w:p>
          <w:p w14:paraId="34AC7445" w14:textId="77777777" w:rsidR="00FB29D2" w:rsidRDefault="00BF2ED6">
            <w:pPr>
              <w:pStyle w:val="Tabellcell"/>
              <w:widowControl w:val="0"/>
            </w:pPr>
            <w:r>
              <w:t>Säkerhetsutvecklare, Säkerhetsenheten föredrog ärendet.</w:t>
            </w:r>
          </w:p>
          <w:p w14:paraId="56F543AC" w14:textId="77777777" w:rsidR="00FB29D2" w:rsidRDefault="00BF2ED6">
            <w:pPr>
              <w:pStyle w:val="Tabellcell"/>
              <w:widowControl w:val="0"/>
            </w:pPr>
            <w:r>
              <w:t>Styrelsen beslutade att anteckna redovisning av genomförd befattningsanalys gällande risk för infiltration till protokollet. Uppdraget enligt kommunfullmäktiges beslut 2024-09-12 § 344 är fullgjort.</w:t>
            </w:r>
          </w:p>
        </w:tc>
      </w:tr>
      <w:tr w:rsidR="00FB29D2" w14:paraId="66A82F60" w14:textId="77777777">
        <w:trPr>
          <w:cantSplit w:val="0"/>
        </w:trPr>
        <w:tc>
          <w:tcPr>
            <w:tcW w:w="3685" w:type="dxa"/>
            <w:tcBorders>
              <w:top w:val="single" w:sz="4" w:space="0" w:color="auto"/>
              <w:left w:val="single" w:sz="4" w:space="0" w:color="auto"/>
              <w:bottom w:val="single" w:sz="4" w:space="0" w:color="auto"/>
              <w:right w:val="nil"/>
            </w:tcBorders>
          </w:tcPr>
          <w:p w14:paraId="09F85C2E" w14:textId="77777777" w:rsidR="00FB29D2" w:rsidRDefault="00BF2ED6">
            <w:pPr>
              <w:pStyle w:val="Tabellcell"/>
            </w:pPr>
            <w:r>
              <w:rPr>
                <w:b/>
              </w:rPr>
              <w:t>Alla nämnder och bolag får i uppdrag att stärka arbetet med att förebygga avfall. Återrapportering sker i respektive nämnd.</w:t>
            </w:r>
            <w:r>
              <w:br/>
            </w:r>
            <w:r>
              <w:br/>
            </w:r>
            <w:r>
              <w:rPr>
                <w:b/>
                <w:i/>
              </w:rPr>
              <w:t>Uppdragsår</w:t>
            </w:r>
            <w:r>
              <w:br/>
            </w:r>
            <w:r>
              <w:rPr>
                <w:i/>
              </w:rPr>
              <w:t>2025</w:t>
            </w:r>
            <w:r>
              <w:br/>
            </w:r>
            <w:r>
              <w:rPr>
                <w:b/>
                <w:i/>
              </w:rPr>
              <w:t>Typ av KF/KS-uppdrag</w:t>
            </w:r>
            <w:r>
              <w:br/>
            </w:r>
            <w:r>
              <w:rPr>
                <w:i/>
              </w:rPr>
              <w:t>Uppdrag utanför budgetbeslut</w:t>
            </w:r>
          </w:p>
        </w:tc>
        <w:tc>
          <w:tcPr>
            <w:tcW w:w="3685" w:type="dxa"/>
            <w:tcBorders>
              <w:top w:val="single" w:sz="4" w:space="0" w:color="auto"/>
              <w:left w:val="nil"/>
              <w:bottom w:val="single" w:sz="4" w:space="0" w:color="auto"/>
              <w:right w:val="single" w:sz="4" w:space="0" w:color="auto"/>
            </w:tcBorders>
          </w:tcPr>
          <w:p w14:paraId="17F5157F" w14:textId="77777777" w:rsidR="00FB29D2" w:rsidRDefault="00BF2ED6">
            <w:pPr>
              <w:pStyle w:val="Tabellcell"/>
              <w:spacing w:before="20"/>
            </w:pPr>
            <w:r>
              <w:rPr>
                <w:noProof/>
              </w:rPr>
              <w:drawing>
                <wp:inline distT="0" distB="0" distL="0" distR="0" wp14:anchorId="207C2026" wp14:editId="54EA1923">
                  <wp:extent cx="152400" cy="152400"/>
                  <wp:effectExtent l="0" t="0" r="0" b="0"/>
                  <wp:docPr id="101" name="Rada93e49eb1c4bd0" descr="Pågå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a93e49eb1c4bd0"/>
                          <pic:cNvPicPr/>
                        </pic:nvPicPr>
                        <pic:blipFill>
                          <a:blip r:embed="rId9" cstate="print"/>
                          <a:stretch>
                            <a:fillRect/>
                          </a:stretch>
                        </pic:blipFill>
                        <pic:spPr>
                          <a:xfrm>
                            <a:off x="0" y="0"/>
                            <a:ext cx="152400" cy="152400"/>
                          </a:xfrm>
                          <a:prstGeom prst="rect">
                            <a:avLst/>
                          </a:prstGeom>
                        </pic:spPr>
                      </pic:pic>
                    </a:graphicData>
                  </a:graphic>
                </wp:inline>
              </w:drawing>
            </w:r>
            <w:r>
              <w:t xml:space="preserve"> Pågående</w:t>
            </w:r>
            <w:r>
              <w:br/>
            </w:r>
          </w:p>
          <w:p w14:paraId="3046793D" w14:textId="77777777" w:rsidR="00FB29D2" w:rsidRDefault="00BF2ED6">
            <w:pPr>
              <w:pStyle w:val="Tabellcell"/>
              <w:widowControl w:val="0"/>
            </w:pPr>
            <w:r>
              <w:rPr>
                <w:b/>
              </w:rPr>
              <w:t>Halvår 2 2025</w:t>
            </w:r>
            <w:r>
              <w:t xml:space="preserve"> </w:t>
            </w:r>
            <w:r>
              <w:rPr>
                <w:b/>
              </w:rPr>
              <w:t>2026-01-14</w:t>
            </w:r>
            <w:r>
              <w:br/>
            </w:r>
          </w:p>
          <w:p w14:paraId="1AA5D34F" w14:textId="77777777" w:rsidR="00FB29D2" w:rsidRDefault="00BF2ED6">
            <w:pPr>
              <w:pStyle w:val="Tabellcell"/>
              <w:widowControl w:val="0"/>
            </w:pPr>
            <w:r>
              <w:t>Bolaget har genomfört kompetenshöjande insatser kring hållbarhetsfrågan i stort, inklusive avfallstrappan. Under året har användning av engångsartiklar minskats. Fortsatt analys behövs av hur flöden av mer komplexa avfall från anläggningsarbete och verkstad kan minskas behövs. Arbetet startar redan vid inköp.</w:t>
            </w:r>
          </w:p>
        </w:tc>
      </w:tr>
      <w:tr w:rsidR="00FB29D2" w14:paraId="7B2E41E8" w14:textId="77777777">
        <w:trPr>
          <w:cantSplit w:val="0"/>
        </w:trPr>
        <w:tc>
          <w:tcPr>
            <w:tcW w:w="3685" w:type="dxa"/>
            <w:tcBorders>
              <w:top w:val="single" w:sz="4" w:space="0" w:color="auto"/>
              <w:left w:val="single" w:sz="4" w:space="0" w:color="auto"/>
              <w:bottom w:val="single" w:sz="4" w:space="0" w:color="auto"/>
              <w:right w:val="nil"/>
            </w:tcBorders>
          </w:tcPr>
          <w:p w14:paraId="5D2E601F" w14:textId="77777777" w:rsidR="00FB29D2" w:rsidRDefault="00BF2ED6">
            <w:pPr>
              <w:pStyle w:val="Tabellcell"/>
            </w:pPr>
            <w:r>
              <w:rPr>
                <w:b/>
              </w:rPr>
              <w:t>Göteborgs Stads nämnder och styrelser får i uppdrag att med rapporten som utgångspunkt se över sina samverkansformer och arbetssätt för att aktivt samråda med och involvera funktionsrättsrörelsen inom områden där det anses vara befogat. Uppdraget återredovisas i respektive nämnds och styrelses del- eller årsrapport.</w:t>
            </w:r>
            <w:r>
              <w:br/>
            </w:r>
            <w:r>
              <w:br/>
            </w:r>
            <w:r>
              <w:rPr>
                <w:b/>
                <w:i/>
              </w:rPr>
              <w:t>Uppdragsår</w:t>
            </w:r>
            <w:r>
              <w:br/>
            </w:r>
            <w:r>
              <w:rPr>
                <w:i/>
              </w:rPr>
              <w:t>2025</w:t>
            </w:r>
            <w:r>
              <w:br/>
            </w:r>
            <w:r>
              <w:rPr>
                <w:b/>
                <w:i/>
              </w:rPr>
              <w:t>Typ av KF/KS-uppdrag</w:t>
            </w:r>
            <w:r>
              <w:br/>
            </w:r>
            <w:r>
              <w:rPr>
                <w:i/>
              </w:rPr>
              <w:t>Uppdrag utanför budgetbeslut</w:t>
            </w:r>
          </w:p>
        </w:tc>
        <w:tc>
          <w:tcPr>
            <w:tcW w:w="3685" w:type="dxa"/>
            <w:tcBorders>
              <w:top w:val="single" w:sz="4" w:space="0" w:color="auto"/>
              <w:left w:val="nil"/>
              <w:bottom w:val="single" w:sz="4" w:space="0" w:color="auto"/>
              <w:right w:val="single" w:sz="4" w:space="0" w:color="auto"/>
            </w:tcBorders>
          </w:tcPr>
          <w:p w14:paraId="572A74D4" w14:textId="77777777" w:rsidR="00FB29D2" w:rsidRDefault="00BF2ED6">
            <w:pPr>
              <w:pStyle w:val="Tabellcell"/>
              <w:spacing w:before="20"/>
            </w:pPr>
            <w:r>
              <w:rPr>
                <w:noProof/>
              </w:rPr>
              <w:drawing>
                <wp:inline distT="0" distB="0" distL="0" distR="0" wp14:anchorId="33D32A8F" wp14:editId="4714776E">
                  <wp:extent cx="152400" cy="152400"/>
                  <wp:effectExtent l="0" t="0" r="0" b="0"/>
                  <wp:docPr id="102" name="R42b3f50521cf4694" descr="Pågå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2b3f50521cf4694"/>
                          <pic:cNvPicPr/>
                        </pic:nvPicPr>
                        <pic:blipFill>
                          <a:blip r:embed="rId9" cstate="print"/>
                          <a:stretch>
                            <a:fillRect/>
                          </a:stretch>
                        </pic:blipFill>
                        <pic:spPr>
                          <a:xfrm>
                            <a:off x="0" y="0"/>
                            <a:ext cx="152400" cy="152400"/>
                          </a:xfrm>
                          <a:prstGeom prst="rect">
                            <a:avLst/>
                          </a:prstGeom>
                        </pic:spPr>
                      </pic:pic>
                    </a:graphicData>
                  </a:graphic>
                </wp:inline>
              </w:drawing>
            </w:r>
            <w:r>
              <w:t xml:space="preserve"> Pågående</w:t>
            </w:r>
            <w:r>
              <w:br/>
            </w:r>
          </w:p>
          <w:p w14:paraId="12D0D49E" w14:textId="77777777" w:rsidR="00FB29D2" w:rsidRDefault="00BF2ED6">
            <w:pPr>
              <w:pStyle w:val="Tabellcell"/>
              <w:widowControl w:val="0"/>
            </w:pPr>
            <w:r>
              <w:rPr>
                <w:b/>
              </w:rPr>
              <w:t>Halvår 2 2025</w:t>
            </w:r>
            <w:r>
              <w:t xml:space="preserve"> </w:t>
            </w:r>
            <w:r>
              <w:rPr>
                <w:b/>
              </w:rPr>
              <w:t>2026-01-14</w:t>
            </w:r>
            <w:r>
              <w:br/>
            </w:r>
          </w:p>
          <w:p w14:paraId="70795E94" w14:textId="77777777" w:rsidR="00FB29D2" w:rsidRDefault="00BF2ED6">
            <w:pPr>
              <w:pStyle w:val="Tabellcell"/>
              <w:widowControl w:val="0"/>
            </w:pPr>
            <w:r>
              <w:t>Kvarstår: Göteborgs spårvägar samverkar med funktionsrättsrörelsen via Västtrafiks befintliga forum för tillgänglighet i kollektivtrafiken. Detta forum samlar organisationer som arbetar med mänskliga rättigheter för personer med funktionsnedsättningar. Organisationerna verkar för personer med funktionsnedsättning som berör syn, hörsel, rörelseförmåga, känslighet för vissa ämnen, intellektuell funktionsförmåga, kognitiv funktionsförmåga och psykisk hälsa. Samrådet ska bidra till att tydliggöra hinder för delaktighet och jämlikhet. Under våren genomfördes en gemensam workshop där representanter från bolaget mötte forumet och delade upplevelser och idéer kring hur kollektivtrafiken kan utvecklas för att stärka tillgängligheten. Ett antal aktiviteter har identifierats och bolaget arbetar vidare med dem i sin handlingsplan för hållbarhet.</w:t>
            </w:r>
          </w:p>
        </w:tc>
      </w:tr>
    </w:tbl>
    <w:p w14:paraId="38A36215" w14:textId="77777777" w:rsidR="00FB29D2" w:rsidRDefault="00BF2ED6">
      <w:pPr>
        <w:pStyle w:val="Rubrik2"/>
      </w:pPr>
      <w:bookmarkStart w:id="32" w:name="_Toc219980663"/>
      <w:r>
        <w:t>Redovisning av uppdrag från Kommunfullmäktige och Kommunstyrelsen i och utanför budget (obegränsad kommentar)</w:t>
      </w:r>
      <w:bookmarkEnd w:id="32"/>
    </w:p>
    <w:tbl>
      <w:tblPr>
        <w:tblStyle w:val="Tabellrutnt"/>
        <w:tblOverlap w:val="never"/>
        <w:tblW w:w="0" w:type="auto"/>
        <w:tblLook w:val="04A0" w:firstRow="1" w:lastRow="0" w:firstColumn="1" w:lastColumn="0" w:noHBand="0" w:noVBand="1"/>
      </w:tblPr>
      <w:tblGrid>
        <w:gridCol w:w="3680"/>
        <w:gridCol w:w="3680"/>
      </w:tblGrid>
      <w:tr w:rsidR="00FB29D2" w14:paraId="4763EEAF" w14:textId="77777777">
        <w:trPr>
          <w:cantSplit w:val="0"/>
          <w:tblHeader/>
        </w:trPr>
        <w:tc>
          <w:tcPr>
            <w:tcW w:w="3685" w:type="dxa"/>
            <w:tcBorders>
              <w:left w:val="single" w:sz="4" w:space="0" w:color="auto"/>
              <w:bottom w:val="single" w:sz="18" w:space="0" w:color="auto"/>
              <w:right w:val="nil"/>
            </w:tcBorders>
            <w:shd w:val="clear" w:color="auto" w:fill="E5E5E5"/>
          </w:tcPr>
          <w:p w14:paraId="6EF6A2C2" w14:textId="77777777" w:rsidR="00FB29D2" w:rsidRDefault="00BF2ED6">
            <w:pPr>
              <w:pStyle w:val="Tabellcell"/>
            </w:pPr>
            <w:r>
              <w:rPr>
                <w:b/>
              </w:rPr>
              <w:t>Uppdrag från KF/KS</w:t>
            </w:r>
          </w:p>
        </w:tc>
        <w:tc>
          <w:tcPr>
            <w:tcW w:w="3685" w:type="dxa"/>
            <w:tcBorders>
              <w:left w:val="nil"/>
              <w:bottom w:val="single" w:sz="18" w:space="0" w:color="auto"/>
              <w:right w:val="single" w:sz="4" w:space="0" w:color="auto"/>
            </w:tcBorders>
            <w:shd w:val="clear" w:color="auto" w:fill="E5E5E5"/>
          </w:tcPr>
          <w:p w14:paraId="06CED23C" w14:textId="77777777" w:rsidR="00FB29D2" w:rsidRDefault="00BF2ED6">
            <w:pPr>
              <w:pStyle w:val="Tabellcell"/>
            </w:pPr>
            <w:r>
              <w:rPr>
                <w:b/>
              </w:rPr>
              <w:t>Uppdragets status och kommentar</w:t>
            </w:r>
          </w:p>
        </w:tc>
      </w:tr>
      <w:tr w:rsidR="00FB29D2" w14:paraId="0850ED5D" w14:textId="77777777">
        <w:trPr>
          <w:cantSplit w:val="0"/>
        </w:trPr>
        <w:tc>
          <w:tcPr>
            <w:tcW w:w="3685" w:type="dxa"/>
            <w:tcBorders>
              <w:top w:val="single" w:sz="18" w:space="0" w:color="auto"/>
              <w:left w:val="single" w:sz="4" w:space="0" w:color="auto"/>
              <w:bottom w:val="single" w:sz="4" w:space="0" w:color="auto"/>
              <w:right w:val="nil"/>
            </w:tcBorders>
          </w:tcPr>
          <w:p w14:paraId="5FC893D4" w14:textId="77777777" w:rsidR="00FB29D2" w:rsidRDefault="00BF2ED6">
            <w:pPr>
              <w:pStyle w:val="Tabellcell"/>
            </w:pPr>
            <w:r>
              <w:rPr>
                <w:b/>
              </w:rPr>
              <w:t>Samtliga nämnder och styrelser i Göteborgs Stad får i uppdrag att identifiera befattningar i sina verksamheter som bedöms vara utsatta för hög risk för infiltration. Uppdraget ska ha genomförts sex månader efter kommunfullmäktiges beslut.</w:t>
            </w:r>
            <w:r>
              <w:br/>
            </w:r>
            <w:r>
              <w:br/>
            </w:r>
            <w:r>
              <w:rPr>
                <w:b/>
                <w:i/>
              </w:rPr>
              <w:t>Uppdragsår</w:t>
            </w:r>
            <w:r>
              <w:br/>
            </w:r>
            <w:r>
              <w:rPr>
                <w:i/>
              </w:rPr>
              <w:t>2024</w:t>
            </w:r>
            <w:r>
              <w:br/>
            </w:r>
            <w:r>
              <w:rPr>
                <w:b/>
                <w:i/>
              </w:rPr>
              <w:t>Typ av KF/KS-uppdrag</w:t>
            </w:r>
            <w:r>
              <w:br/>
            </w:r>
            <w:r>
              <w:rPr>
                <w:i/>
              </w:rPr>
              <w:t>Uppdrag utanför budgetbeslut</w:t>
            </w:r>
          </w:p>
        </w:tc>
        <w:tc>
          <w:tcPr>
            <w:tcW w:w="3685" w:type="dxa"/>
            <w:tcBorders>
              <w:top w:val="single" w:sz="18" w:space="0" w:color="auto"/>
              <w:left w:val="nil"/>
              <w:bottom w:val="single" w:sz="4" w:space="0" w:color="auto"/>
              <w:right w:val="single" w:sz="4" w:space="0" w:color="auto"/>
            </w:tcBorders>
          </w:tcPr>
          <w:p w14:paraId="2CDC0734" w14:textId="77777777" w:rsidR="00FB29D2" w:rsidRDefault="00BF2ED6">
            <w:pPr>
              <w:pStyle w:val="Tabellcell"/>
              <w:spacing w:before="20"/>
            </w:pPr>
            <w:r>
              <w:rPr>
                <w:noProof/>
              </w:rPr>
              <w:drawing>
                <wp:inline distT="0" distB="0" distL="0" distR="0" wp14:anchorId="77369BBD" wp14:editId="05018744">
                  <wp:extent cx="152400" cy="152400"/>
                  <wp:effectExtent l="0" t="0" r="0" b="0"/>
                  <wp:docPr id="103" name="Rc395f32e3e174315" descr="Avslu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395f32e3e174315"/>
                          <pic:cNvPicPr/>
                        </pic:nvPicPr>
                        <pic:blipFill>
                          <a:blip r:embed="rId8" cstate="print"/>
                          <a:stretch>
                            <a:fillRect/>
                          </a:stretch>
                        </pic:blipFill>
                        <pic:spPr>
                          <a:xfrm>
                            <a:off x="0" y="0"/>
                            <a:ext cx="152400" cy="152400"/>
                          </a:xfrm>
                          <a:prstGeom prst="rect">
                            <a:avLst/>
                          </a:prstGeom>
                        </pic:spPr>
                      </pic:pic>
                    </a:graphicData>
                  </a:graphic>
                </wp:inline>
              </w:drawing>
            </w:r>
            <w:r>
              <w:t xml:space="preserve"> Avslutad</w:t>
            </w:r>
            <w:r>
              <w:br/>
            </w:r>
          </w:p>
          <w:p w14:paraId="100D31E8" w14:textId="77777777" w:rsidR="00FB29D2" w:rsidRDefault="00BF2ED6">
            <w:pPr>
              <w:pStyle w:val="Tabellcell"/>
              <w:widowControl w:val="0"/>
            </w:pPr>
            <w:r>
              <w:rPr>
                <w:b/>
              </w:rPr>
              <w:t>2026-01-14</w:t>
            </w:r>
            <w:r>
              <w:br/>
            </w:r>
          </w:p>
          <w:p w14:paraId="654046DA" w14:textId="77777777" w:rsidR="00FB29D2" w:rsidRDefault="00BF2ED6">
            <w:pPr>
              <w:pStyle w:val="Tabellcell"/>
              <w:widowControl w:val="0"/>
            </w:pPr>
            <w:r>
              <w:t>Protokoll nr 5 sammanträde bolagsstyrelsen 2025-09-17 Göteborgs Spårvägar AB</w:t>
            </w:r>
          </w:p>
          <w:p w14:paraId="6DEB1486" w14:textId="77777777" w:rsidR="00FB29D2" w:rsidRDefault="00BF2ED6">
            <w:pPr>
              <w:pStyle w:val="Tabellcell"/>
              <w:widowControl w:val="0"/>
            </w:pPr>
            <w:r>
              <w:t>§74</w:t>
            </w:r>
          </w:p>
          <w:p w14:paraId="6E7F5821" w14:textId="77777777" w:rsidR="00FB29D2" w:rsidRDefault="00BF2ED6">
            <w:pPr>
              <w:pStyle w:val="Tabellcell"/>
              <w:widowControl w:val="0"/>
            </w:pPr>
            <w:r>
              <w:t>Säkerhetsutvecklare, Säkerhetsenheten föredrog ärendet.</w:t>
            </w:r>
          </w:p>
          <w:p w14:paraId="2664E925" w14:textId="77777777" w:rsidR="00FB29D2" w:rsidRDefault="00BF2ED6">
            <w:pPr>
              <w:pStyle w:val="Tabellcell"/>
              <w:widowControl w:val="0"/>
            </w:pPr>
            <w:r>
              <w:t>Styrelsen beslutade att anteckna redovisning av genomförd befattningsanalys gällande risk för infiltration till protokollet. Uppdraget enligt kommunfullmäktiges beslut 2024-09-12 § 344 är fullgjort.</w:t>
            </w:r>
          </w:p>
        </w:tc>
      </w:tr>
      <w:tr w:rsidR="00FB29D2" w14:paraId="2EB43784" w14:textId="77777777">
        <w:trPr>
          <w:cantSplit w:val="0"/>
        </w:trPr>
        <w:tc>
          <w:tcPr>
            <w:tcW w:w="3685" w:type="dxa"/>
            <w:tcBorders>
              <w:top w:val="single" w:sz="4" w:space="0" w:color="auto"/>
              <w:left w:val="single" w:sz="4" w:space="0" w:color="auto"/>
              <w:bottom w:val="single" w:sz="4" w:space="0" w:color="auto"/>
              <w:right w:val="nil"/>
            </w:tcBorders>
          </w:tcPr>
          <w:p w14:paraId="23AEAFC0" w14:textId="77777777" w:rsidR="00FB29D2" w:rsidRDefault="00BF2ED6">
            <w:pPr>
              <w:pStyle w:val="Tabellcell"/>
            </w:pPr>
            <w:r>
              <w:rPr>
                <w:b/>
              </w:rPr>
              <w:t>Alla nämnder och bolag får i uppdrag att stärka arbetet med att förebygga avfall. Återrapportering sker i respektive nämnd.</w:t>
            </w:r>
            <w:r>
              <w:br/>
            </w:r>
            <w:r>
              <w:br/>
            </w:r>
            <w:r>
              <w:rPr>
                <w:b/>
                <w:i/>
              </w:rPr>
              <w:t>Uppdragsår</w:t>
            </w:r>
            <w:r>
              <w:br/>
            </w:r>
            <w:r>
              <w:rPr>
                <w:i/>
              </w:rPr>
              <w:t>2025</w:t>
            </w:r>
            <w:r>
              <w:br/>
            </w:r>
            <w:r>
              <w:rPr>
                <w:b/>
                <w:i/>
              </w:rPr>
              <w:t>Typ av KF/KS-uppdrag</w:t>
            </w:r>
            <w:r>
              <w:br/>
            </w:r>
            <w:r>
              <w:rPr>
                <w:i/>
              </w:rPr>
              <w:t>Uppdrag utanför budgetbeslut</w:t>
            </w:r>
          </w:p>
        </w:tc>
        <w:tc>
          <w:tcPr>
            <w:tcW w:w="3685" w:type="dxa"/>
            <w:tcBorders>
              <w:top w:val="single" w:sz="4" w:space="0" w:color="auto"/>
              <w:left w:val="nil"/>
              <w:bottom w:val="single" w:sz="4" w:space="0" w:color="auto"/>
              <w:right w:val="single" w:sz="4" w:space="0" w:color="auto"/>
            </w:tcBorders>
          </w:tcPr>
          <w:p w14:paraId="7F991D9B" w14:textId="77777777" w:rsidR="00FB29D2" w:rsidRDefault="00BF2ED6">
            <w:pPr>
              <w:pStyle w:val="Tabellcell"/>
              <w:spacing w:before="20"/>
            </w:pPr>
            <w:r>
              <w:rPr>
                <w:noProof/>
              </w:rPr>
              <w:drawing>
                <wp:inline distT="0" distB="0" distL="0" distR="0" wp14:anchorId="26AEFADF" wp14:editId="21DAF536">
                  <wp:extent cx="152400" cy="152400"/>
                  <wp:effectExtent l="0" t="0" r="0" b="0"/>
                  <wp:docPr id="104" name="Rf63aefdc1c144362" descr="Pågå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63aefdc1c144362"/>
                          <pic:cNvPicPr/>
                        </pic:nvPicPr>
                        <pic:blipFill>
                          <a:blip r:embed="rId9" cstate="print"/>
                          <a:stretch>
                            <a:fillRect/>
                          </a:stretch>
                        </pic:blipFill>
                        <pic:spPr>
                          <a:xfrm>
                            <a:off x="0" y="0"/>
                            <a:ext cx="152400" cy="152400"/>
                          </a:xfrm>
                          <a:prstGeom prst="rect">
                            <a:avLst/>
                          </a:prstGeom>
                        </pic:spPr>
                      </pic:pic>
                    </a:graphicData>
                  </a:graphic>
                </wp:inline>
              </w:drawing>
            </w:r>
            <w:r>
              <w:t xml:space="preserve"> Pågående</w:t>
            </w:r>
            <w:r>
              <w:br/>
            </w:r>
          </w:p>
          <w:p w14:paraId="3011C0BD" w14:textId="77777777" w:rsidR="00FB29D2" w:rsidRDefault="00BF2ED6">
            <w:pPr>
              <w:pStyle w:val="Tabellcell"/>
              <w:widowControl w:val="0"/>
            </w:pPr>
            <w:r>
              <w:rPr>
                <w:b/>
              </w:rPr>
              <w:t>2026-01-07</w:t>
            </w:r>
            <w:r>
              <w:br/>
            </w:r>
          </w:p>
          <w:p w14:paraId="341BEF33" w14:textId="77777777" w:rsidR="00FB29D2" w:rsidRDefault="00BF2ED6">
            <w:pPr>
              <w:pStyle w:val="Tabellcell"/>
              <w:widowControl w:val="0"/>
            </w:pPr>
            <w:r>
              <w:t>Bolaget har genomfört kompetenshöjande insatser kring hållbarhetsfrågan i stort, inklusive avfallstrappan. Under året har användning av engångsartiklar minskats. Fortsatt analys behövs av hur flöden av mer komplexa avfall från anläggningsarbete och verkstad kan minskas behövs. Arbetet startar redan vid inköp.</w:t>
            </w:r>
          </w:p>
        </w:tc>
      </w:tr>
      <w:tr w:rsidR="00FB29D2" w14:paraId="2020264F" w14:textId="77777777">
        <w:trPr>
          <w:cantSplit w:val="0"/>
        </w:trPr>
        <w:tc>
          <w:tcPr>
            <w:tcW w:w="3685" w:type="dxa"/>
            <w:tcBorders>
              <w:top w:val="single" w:sz="4" w:space="0" w:color="auto"/>
              <w:left w:val="single" w:sz="4" w:space="0" w:color="auto"/>
              <w:bottom w:val="single" w:sz="4" w:space="0" w:color="auto"/>
              <w:right w:val="nil"/>
            </w:tcBorders>
          </w:tcPr>
          <w:p w14:paraId="52C2A170" w14:textId="77777777" w:rsidR="00FB29D2" w:rsidRDefault="00BF2ED6">
            <w:pPr>
              <w:pStyle w:val="Tabellcell"/>
            </w:pPr>
            <w:r>
              <w:rPr>
                <w:b/>
              </w:rPr>
              <w:t>Göteborgs Stads nämnder och styrelser får i uppdrag att med rapporten som utgångspunkt se över sina samverkansformer och arbetssätt för att aktivt samråda med och involvera funktionsrättsrörelsen inom områden där det anses vara befogat. Uppdraget återredovisas i respektive nämnds och styrelses del- eller årsrapport.</w:t>
            </w:r>
            <w:r>
              <w:br/>
            </w:r>
            <w:r>
              <w:br/>
            </w:r>
            <w:r>
              <w:rPr>
                <w:b/>
                <w:i/>
              </w:rPr>
              <w:t>Uppdragsår</w:t>
            </w:r>
            <w:r>
              <w:br/>
            </w:r>
            <w:r>
              <w:rPr>
                <w:i/>
              </w:rPr>
              <w:t>2025</w:t>
            </w:r>
            <w:r>
              <w:br/>
            </w:r>
            <w:r>
              <w:rPr>
                <w:b/>
                <w:i/>
              </w:rPr>
              <w:t>Typ av KF/KS-uppdrag</w:t>
            </w:r>
            <w:r>
              <w:br/>
            </w:r>
            <w:r>
              <w:rPr>
                <w:i/>
              </w:rPr>
              <w:t>Uppdrag utanför budgetbeslut</w:t>
            </w:r>
          </w:p>
        </w:tc>
        <w:tc>
          <w:tcPr>
            <w:tcW w:w="3685" w:type="dxa"/>
            <w:tcBorders>
              <w:top w:val="single" w:sz="4" w:space="0" w:color="auto"/>
              <w:left w:val="nil"/>
              <w:bottom w:val="single" w:sz="4" w:space="0" w:color="auto"/>
              <w:right w:val="single" w:sz="4" w:space="0" w:color="auto"/>
            </w:tcBorders>
          </w:tcPr>
          <w:p w14:paraId="0FB82167" w14:textId="77777777" w:rsidR="00FB29D2" w:rsidRDefault="00BF2ED6">
            <w:pPr>
              <w:pStyle w:val="Tabellcell"/>
              <w:spacing w:before="20"/>
            </w:pPr>
            <w:r>
              <w:rPr>
                <w:noProof/>
              </w:rPr>
              <w:drawing>
                <wp:inline distT="0" distB="0" distL="0" distR="0" wp14:anchorId="67FDD4EF" wp14:editId="0FDEB722">
                  <wp:extent cx="152400" cy="152400"/>
                  <wp:effectExtent l="0" t="0" r="0" b="0"/>
                  <wp:docPr id="105" name="Rdbeb219ed26c4c75" descr="Pågå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beb219ed26c4c75"/>
                          <pic:cNvPicPr/>
                        </pic:nvPicPr>
                        <pic:blipFill>
                          <a:blip r:embed="rId9" cstate="print"/>
                          <a:stretch>
                            <a:fillRect/>
                          </a:stretch>
                        </pic:blipFill>
                        <pic:spPr>
                          <a:xfrm>
                            <a:off x="0" y="0"/>
                            <a:ext cx="152400" cy="152400"/>
                          </a:xfrm>
                          <a:prstGeom prst="rect">
                            <a:avLst/>
                          </a:prstGeom>
                        </pic:spPr>
                      </pic:pic>
                    </a:graphicData>
                  </a:graphic>
                </wp:inline>
              </w:drawing>
            </w:r>
            <w:r>
              <w:t xml:space="preserve"> Pågående</w:t>
            </w:r>
            <w:r>
              <w:br/>
            </w:r>
          </w:p>
          <w:p w14:paraId="25E62C7C" w14:textId="77777777" w:rsidR="00FB29D2" w:rsidRDefault="00BF2ED6">
            <w:pPr>
              <w:pStyle w:val="Tabellcell"/>
              <w:widowControl w:val="0"/>
            </w:pPr>
            <w:r>
              <w:rPr>
                <w:b/>
              </w:rPr>
              <w:t>2026-01-07</w:t>
            </w:r>
            <w:r>
              <w:br/>
            </w:r>
          </w:p>
          <w:p w14:paraId="0A455024" w14:textId="77777777" w:rsidR="00FB29D2" w:rsidRDefault="00BF2ED6">
            <w:pPr>
              <w:pStyle w:val="Tabellcell"/>
              <w:widowControl w:val="0"/>
            </w:pPr>
            <w:r>
              <w:t>Kvarstår: Göteborgs spårvägar samverkar med funktionsrättsrörelsen via Västtrafiks befintliga forum för tillgänglighet i kollektivtrafiken. Detta forum samlar organisationer som arbetar med mänskliga rättigheter för personer med funktionsnedsättningar. Organisationerna verkar för personer med funktionsnedsättning som berör syn, hörsel, rörelseförmåga, känslighet för vissa ämnen, intellektuell funktionsförmåga, kognitiv funktionsförmåga och psykisk hälsa. Samrådet ska bidra till att tydliggöra hinder för delaktighet och jämlikhet. Under våren genomfördes en gemensam workshop där representanter från bolaget mötte forumet och delade upplevelser och idéer kring hur kollektivtrafiken kan utvecklas för att stärka tillgängligheten. Ett antal aktiviteter har identifierats och bolaget arbetar vidare med dem i sin handlingsplan för hållbarhet.</w:t>
            </w:r>
          </w:p>
        </w:tc>
      </w:tr>
    </w:tbl>
    <w:p w14:paraId="0C6A6524" w14:textId="77777777" w:rsidR="00FB29D2" w:rsidRDefault="00BF2ED6">
      <w:pPr>
        <w:pStyle w:val="Rubrik1-Sidbryt"/>
      </w:pPr>
      <w:bookmarkStart w:id="33" w:name="_Toc219980664"/>
      <w:r>
        <w:t>Uppföljning till Göteborgs Stadshus AB</w:t>
      </w:r>
      <w:bookmarkEnd w:id="33"/>
    </w:p>
    <w:p w14:paraId="68B6D1A5" w14:textId="77777777" w:rsidR="00FB29D2" w:rsidRDefault="00BF2ED6">
      <w:pPr>
        <w:pStyle w:val="Rubrik2"/>
      </w:pPr>
      <w:bookmarkStart w:id="34" w:name="_Toc219980665"/>
      <w:r>
        <w:t>Uppföljning kassaflöde och realisationsresultat</w:t>
      </w:r>
      <w:bookmarkEnd w:id="34"/>
    </w:p>
    <w:p w14:paraId="4895904A" w14:textId="77777777" w:rsidR="00FB29D2" w:rsidRDefault="00BF2ED6">
      <w:pPr>
        <w:pStyle w:val="Tabellrubrik"/>
      </w:pPr>
      <w:r>
        <w:t>Uppföljning kassaflöde och realisationsresultat</w:t>
      </w:r>
    </w:p>
    <w:tbl>
      <w:tblPr>
        <w:tblStyle w:val="Tabellrutnt"/>
        <w:tblOverlap w:val="never"/>
        <w:tblW w:w="0" w:type="auto"/>
        <w:tblLook w:val="04A0" w:firstRow="1" w:lastRow="0" w:firstColumn="1" w:lastColumn="0" w:noHBand="0" w:noVBand="1"/>
      </w:tblPr>
      <w:tblGrid>
        <w:gridCol w:w="2456"/>
        <w:gridCol w:w="2452"/>
        <w:gridCol w:w="2452"/>
      </w:tblGrid>
      <w:tr w:rsidR="00FB29D2" w14:paraId="22410F5D" w14:textId="77777777">
        <w:trPr>
          <w:cantSplit w:val="0"/>
        </w:trPr>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2CCD4F8F" w14:textId="77777777" w:rsidR="00FB29D2" w:rsidRDefault="00BF2ED6">
            <w:pPr>
              <w:pStyle w:val="Tabellcell"/>
            </w:pPr>
            <w:r>
              <w:rPr>
                <w:b/>
              </w:rPr>
              <w:t>Kassaflöde (mnkr)</w:t>
            </w:r>
          </w:p>
        </w:tc>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5B71F145" w14:textId="77777777" w:rsidR="00FB29D2" w:rsidRDefault="00BF2ED6">
            <w:pPr>
              <w:pStyle w:val="Tabellcell"/>
              <w:jc w:val="center"/>
            </w:pPr>
            <w:r>
              <w:rPr>
                <w:b/>
              </w:rPr>
              <w:t>Kassaflöde innevarande år</w:t>
            </w:r>
          </w:p>
        </w:tc>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3D41D97B" w14:textId="77777777" w:rsidR="00FB29D2" w:rsidRDefault="00BF2ED6">
            <w:pPr>
              <w:pStyle w:val="Tabellcell"/>
              <w:jc w:val="center"/>
            </w:pPr>
            <w:r>
              <w:rPr>
                <w:b/>
              </w:rPr>
              <w:t>Kassaflöde föregående år</w:t>
            </w:r>
          </w:p>
        </w:tc>
      </w:tr>
      <w:tr w:rsidR="00FB29D2" w14:paraId="695F525B" w14:textId="77777777">
        <w:trPr>
          <w:cantSplit w:val="0"/>
        </w:trPr>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34F727CC" w14:textId="77777777" w:rsidR="00FB29D2" w:rsidRDefault="00BF2ED6">
            <w:pPr>
              <w:pStyle w:val="Tabellcell"/>
            </w:pPr>
            <w:r>
              <w:t>Löpande verksamhet</w:t>
            </w:r>
          </w:p>
        </w:tc>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08BE7BC1" w14:textId="77777777" w:rsidR="00FB29D2" w:rsidRDefault="00BF2ED6">
            <w:pPr>
              <w:pStyle w:val="Tabellcell"/>
              <w:jc w:val="right"/>
            </w:pPr>
            <w:r>
              <w:t>91,7</w:t>
            </w:r>
          </w:p>
        </w:tc>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0E9E48E6" w14:textId="77777777" w:rsidR="00FB29D2" w:rsidRDefault="00BF2ED6">
            <w:pPr>
              <w:pStyle w:val="Tabellcell"/>
              <w:jc w:val="right"/>
            </w:pPr>
            <w:r>
              <w:t>-2,0</w:t>
            </w:r>
          </w:p>
        </w:tc>
      </w:tr>
      <w:tr w:rsidR="00FB29D2" w14:paraId="6AE7BDE8"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08E74CBF" w14:textId="77777777" w:rsidR="00FB29D2" w:rsidRDefault="00BF2ED6">
            <w:pPr>
              <w:pStyle w:val="Tabellcell"/>
            </w:pPr>
            <w:r>
              <w:t>Investeringsverksamhet</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2C77ED24" w14:textId="77777777" w:rsidR="00FB29D2" w:rsidRDefault="00BF2ED6">
            <w:pPr>
              <w:pStyle w:val="Tabellcell"/>
              <w:jc w:val="right"/>
            </w:pPr>
            <w:r>
              <w:t>-20,4</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0FD148EF" w14:textId="77777777" w:rsidR="00FB29D2" w:rsidRDefault="00BF2ED6">
            <w:pPr>
              <w:pStyle w:val="Tabellcell"/>
              <w:jc w:val="right"/>
            </w:pPr>
            <w:r>
              <w:t>-36,5</w:t>
            </w:r>
          </w:p>
        </w:tc>
      </w:tr>
      <w:tr w:rsidR="00FB29D2" w14:paraId="09D7122B"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576D5940" w14:textId="77777777" w:rsidR="00FB29D2" w:rsidRDefault="00BF2ED6">
            <w:pPr>
              <w:pStyle w:val="Tabellcell"/>
            </w:pPr>
            <w:r>
              <w:t>Finansieringsverksamhet</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1905E2B7" w14:textId="77777777" w:rsidR="00FB29D2" w:rsidRDefault="00BF2ED6">
            <w:pPr>
              <w:pStyle w:val="Tabellcell"/>
              <w:jc w:val="right"/>
            </w:pPr>
            <w:r>
              <w:t>-71,3</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11D740A1" w14:textId="77777777" w:rsidR="00FB29D2" w:rsidRDefault="00BF2ED6">
            <w:pPr>
              <w:pStyle w:val="Tabellcell"/>
              <w:jc w:val="right"/>
            </w:pPr>
            <w:r>
              <w:t>38,5</w:t>
            </w:r>
          </w:p>
        </w:tc>
      </w:tr>
      <w:tr w:rsidR="00FB29D2" w14:paraId="353FCB7F"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1AE0BF82" w14:textId="77777777" w:rsidR="00FB29D2" w:rsidRDefault="00BF2ED6">
            <w:pPr>
              <w:pStyle w:val="Tabellcell"/>
            </w:pPr>
            <w:r>
              <w:t>SUMMA</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3B1FA76F" w14:textId="77777777" w:rsidR="00FB29D2" w:rsidRDefault="00BF2ED6">
            <w:pPr>
              <w:pStyle w:val="Tabellcell"/>
              <w:jc w:val="right"/>
            </w:pPr>
            <w:r>
              <w:t>0,0</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4867128F" w14:textId="77777777" w:rsidR="00FB29D2" w:rsidRDefault="00BF2ED6">
            <w:pPr>
              <w:pStyle w:val="Tabellcell"/>
              <w:jc w:val="right"/>
            </w:pPr>
            <w:r>
              <w:t>0,0</w:t>
            </w:r>
          </w:p>
        </w:tc>
      </w:tr>
    </w:tbl>
    <w:p w14:paraId="6B6E8EEA" w14:textId="77777777" w:rsidR="00FB29D2" w:rsidRDefault="00BF2ED6">
      <w:pPr>
        <w:pStyle w:val="BodyText"/>
        <w:widowControl w:val="0"/>
        <w:spacing w:before="160"/>
      </w:pPr>
      <w:r>
        <w:t>Den främsta anledningen till det höga kassaflödet från den löpande verksamheten om 91,7 mnkr beror främst på överskotten i Trafikavtalet och Drift- och underhållsavtalet om totalt 39,6 mnkr. Överskotten har medfört att upplupna kostnader och förutbetalda intäkter ökat i år med 46,6 mnkr, vilket förbättrat årets kassaflöde. Vidare har övriga kortfristiga fordringar minskat under året med 24,3 mnkr som får motsvarande positiv effekt för årets kassaflöde. Avskrivningar om 29,1 mnkr har återlagts och förbättrar också årets kassaflöde,</w:t>
      </w:r>
    </w:p>
    <w:p w14:paraId="0B6DA7AA" w14:textId="77777777" w:rsidR="00FB29D2" w:rsidRDefault="00BF2ED6">
      <w:pPr>
        <w:pStyle w:val="Tabellrubrik"/>
      </w:pPr>
      <w:r>
        <w:t>Specifikation rearesultat avyttring fastighet/bolag</w:t>
      </w:r>
    </w:p>
    <w:tbl>
      <w:tblPr>
        <w:tblStyle w:val="Tabellrutnt"/>
        <w:tblOverlap w:val="never"/>
        <w:tblW w:w="0" w:type="auto"/>
        <w:tblLook w:val="04A0" w:firstRow="1" w:lastRow="0" w:firstColumn="1" w:lastColumn="0" w:noHBand="0" w:noVBand="1"/>
      </w:tblPr>
      <w:tblGrid>
        <w:gridCol w:w="1534"/>
        <w:gridCol w:w="1652"/>
        <w:gridCol w:w="717"/>
        <w:gridCol w:w="3457"/>
      </w:tblGrid>
      <w:tr w:rsidR="00FB29D2" w14:paraId="0E65D2CF" w14:textId="77777777">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08C5D397" w14:textId="77777777" w:rsidR="00FB29D2" w:rsidRDefault="00BF2ED6">
            <w:pPr>
              <w:pStyle w:val="Tabellcell"/>
            </w:pPr>
            <w:r>
              <w:rPr>
                <w:b/>
              </w:rPr>
              <w:t>Specifikation rearesultat avyttring fastighet/bolag</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28530F7D" w14:textId="77777777" w:rsidR="00FB29D2" w:rsidRDefault="00BF2ED6">
            <w:pPr>
              <w:pStyle w:val="Tabellcell"/>
              <w:jc w:val="center"/>
            </w:pPr>
            <w:r>
              <w:rPr>
                <w:b/>
              </w:rPr>
              <w:t>Objekt (fastighet/bolag)</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1585FAC4" w14:textId="77777777" w:rsidR="00FB29D2" w:rsidRDefault="00BF2ED6">
            <w:pPr>
              <w:pStyle w:val="Tabellcell"/>
              <w:jc w:val="center"/>
            </w:pPr>
            <w:r>
              <w:rPr>
                <w:b/>
              </w:rPr>
              <w:t>Utfall 2025</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4FF1E833" w14:textId="77777777" w:rsidR="00FB29D2" w:rsidRDefault="00BF2ED6">
            <w:pPr>
              <w:pStyle w:val="Tabellcell"/>
              <w:jc w:val="center"/>
            </w:pPr>
            <w:r>
              <w:rPr>
                <w:b/>
              </w:rPr>
              <w:t>Motpart (extern/kommun/Stadshuskoncernen)</w:t>
            </w:r>
          </w:p>
        </w:tc>
      </w:tr>
      <w:tr w:rsidR="00FB29D2" w14:paraId="01BB6E64" w14:textId="77777777">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73550059" w14:textId="77777777" w:rsidR="00FB29D2" w:rsidRDefault="00BF2ED6">
            <w:pPr>
              <w:pStyle w:val="Tabellcell"/>
            </w:pPr>
            <w:r>
              <w:t>-</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1EFB5C88" w14:textId="77777777" w:rsidR="00FB29D2" w:rsidRDefault="00BF2ED6">
            <w:pPr>
              <w:pStyle w:val="Tabellcell"/>
            </w:pPr>
            <w:r>
              <w:t>-</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2C198D2C" w14:textId="77777777" w:rsidR="00FB29D2" w:rsidRDefault="00BF2ED6">
            <w:pPr>
              <w:pStyle w:val="Tabellcell"/>
              <w:jc w:val="right"/>
            </w:pPr>
            <w:r>
              <w:t>-</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6B499A90" w14:textId="77777777" w:rsidR="00FB29D2" w:rsidRDefault="00BF2ED6">
            <w:pPr>
              <w:pStyle w:val="Tabellcell"/>
            </w:pPr>
            <w:r>
              <w:t>-</w:t>
            </w:r>
          </w:p>
        </w:tc>
      </w:tr>
    </w:tbl>
    <w:p w14:paraId="0E86B159" w14:textId="77777777" w:rsidR="000F6D43" w:rsidRDefault="000F6D43"/>
    <w:sectPr w:rsidR="000F6D43" w:rsidSect="00927232">
      <w:footerReference w:type="default" r:id="rId10"/>
      <w:headerReference w:type="first" r:id="rId11"/>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E77F" w14:textId="77777777" w:rsidR="00CA18E8" w:rsidRDefault="00CA18E8" w:rsidP="00FD14E4">
      <w:pPr>
        <w:spacing w:after="0" w:line="240" w:lineRule="auto"/>
      </w:pPr>
      <w:r>
        <w:separator/>
      </w:r>
    </w:p>
  </w:endnote>
  <w:endnote w:type="continuationSeparator" w:id="0">
    <w:p w14:paraId="45C64989" w14:textId="77777777"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157707" w:rsidRPr="00C6776C" w14:paraId="400B1F19" w14:textId="77777777" w:rsidTr="00D61EFC">
      <w:sdt>
        <w:sdtPr>
          <w:rPr>
            <w:rFonts w:ascii="Arial" w:hAnsi="Arial" w:cs="Arial"/>
            <w:sz w:val="18"/>
            <w:szCs w:val="18"/>
          </w:r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0F445494" w14:textId="77777777" w:rsidR="008539A7" w:rsidRPr="00C6776C" w:rsidRDefault="00BF2ED6" w:rsidP="00157707">
              <w:pPr>
                <w:pStyle w:val="Sidfot"/>
                <w:rPr>
                  <w:rFonts w:ascii="Arial" w:hAnsi="Arial" w:cs="Arial"/>
                  <w:sz w:val="18"/>
                  <w:szCs w:val="18"/>
                </w:rPr>
              </w:pPr>
              <w:r w:rsidRPr="00C6776C">
                <w:rPr>
                  <w:rFonts w:ascii="Arial" w:hAnsi="Arial" w:cs="Arial"/>
                  <w:sz w:val="18"/>
                  <w:szCs w:val="18"/>
                </w:rPr>
                <w:t>Årsrapport nämnder och styrelser 2025</w:t>
              </w:r>
            </w:p>
          </w:tc>
        </w:sdtContent>
      </w:sdt>
      <w:tc>
        <w:tcPr>
          <w:tcW w:w="1966" w:type="dxa"/>
        </w:tcPr>
        <w:p w14:paraId="4B6D6D68" w14:textId="77777777" w:rsidR="008539A7" w:rsidRPr="00C6776C" w:rsidRDefault="00BF2ED6" w:rsidP="00157707">
          <w:pPr>
            <w:pStyle w:val="Sidfot"/>
            <w:jc w:val="right"/>
            <w:rPr>
              <w:rFonts w:ascii="Arial" w:hAnsi="Arial" w:cs="Arial"/>
              <w:sz w:val="18"/>
              <w:szCs w:val="18"/>
            </w:rPr>
          </w:pPr>
          <w:r w:rsidRPr="00C6776C">
            <w:rPr>
              <w:rFonts w:ascii="Arial" w:hAnsi="Arial" w:cs="Arial"/>
              <w:sz w:val="18"/>
              <w:szCs w:val="18"/>
            </w:rPr>
            <w:fldChar w:fldCharType="begin"/>
          </w:r>
          <w:r w:rsidRPr="00C6776C">
            <w:rPr>
              <w:rFonts w:ascii="Arial" w:hAnsi="Arial" w:cs="Arial"/>
              <w:sz w:val="18"/>
              <w:szCs w:val="18"/>
            </w:rPr>
            <w:instrText xml:space="preserve"> PAGE   \* MERGEFORMAT </w:instrText>
          </w:r>
          <w:r w:rsidRPr="00C6776C">
            <w:rPr>
              <w:rFonts w:ascii="Arial" w:hAnsi="Arial" w:cs="Arial"/>
              <w:sz w:val="18"/>
              <w:szCs w:val="18"/>
            </w:rPr>
            <w:fldChar w:fldCharType="separate"/>
          </w:r>
          <w:r w:rsidRPr="00C6776C">
            <w:rPr>
              <w:rFonts w:ascii="Arial" w:hAnsi="Arial" w:cs="Arial"/>
              <w:noProof/>
              <w:sz w:val="18"/>
              <w:szCs w:val="18"/>
            </w:rPr>
            <w:t>2</w:t>
          </w:r>
          <w:r w:rsidRPr="00C6776C">
            <w:rPr>
              <w:rFonts w:ascii="Arial" w:hAnsi="Arial" w:cs="Arial"/>
              <w:sz w:val="18"/>
              <w:szCs w:val="18"/>
            </w:rPr>
            <w:fldChar w:fldCharType="end"/>
          </w:r>
          <w:r w:rsidRPr="00C6776C">
            <w:rPr>
              <w:rFonts w:ascii="Arial" w:hAnsi="Arial" w:cs="Arial"/>
              <w:sz w:val="18"/>
              <w:szCs w:val="18"/>
            </w:rPr>
            <w:t xml:space="preserve"> (</w:t>
          </w:r>
          <w:r w:rsidRPr="00C6776C">
            <w:rPr>
              <w:rFonts w:ascii="Arial" w:hAnsi="Arial" w:cs="Arial"/>
              <w:noProof/>
              <w:sz w:val="18"/>
              <w:szCs w:val="18"/>
            </w:rPr>
            <w:fldChar w:fldCharType="begin"/>
          </w:r>
          <w:r w:rsidRPr="00C6776C">
            <w:rPr>
              <w:rFonts w:ascii="Arial" w:hAnsi="Arial" w:cs="Arial"/>
              <w:noProof/>
              <w:sz w:val="18"/>
              <w:szCs w:val="18"/>
            </w:rPr>
            <w:instrText xml:space="preserve"> NUMPAGES   \* MERGEFORMAT </w:instrText>
          </w:r>
          <w:r w:rsidRPr="00C6776C">
            <w:rPr>
              <w:rFonts w:ascii="Arial" w:hAnsi="Arial" w:cs="Arial"/>
              <w:noProof/>
              <w:sz w:val="18"/>
              <w:szCs w:val="18"/>
            </w:rPr>
            <w:fldChar w:fldCharType="separate"/>
          </w:r>
          <w:r w:rsidRPr="00C6776C">
            <w:rPr>
              <w:rFonts w:ascii="Arial" w:hAnsi="Arial" w:cs="Arial"/>
              <w:noProof/>
              <w:sz w:val="18"/>
              <w:szCs w:val="18"/>
            </w:rPr>
            <w:t>2</w:t>
          </w:r>
          <w:r w:rsidRPr="00C6776C">
            <w:rPr>
              <w:rFonts w:ascii="Arial" w:hAnsi="Arial" w:cs="Arial"/>
              <w:noProof/>
              <w:sz w:val="18"/>
              <w:szCs w:val="18"/>
            </w:rPr>
            <w:fldChar w:fldCharType="end"/>
          </w:r>
          <w:r w:rsidRPr="00C6776C">
            <w:rPr>
              <w:rFonts w:ascii="Arial" w:hAnsi="Arial" w:cs="Arial"/>
              <w:sz w:val="18"/>
              <w:szCs w:val="18"/>
            </w:rPr>
            <w:t>)</w:t>
          </w:r>
        </w:p>
      </w:tc>
    </w:tr>
    <w:tr w:rsidR="00157707" w:rsidRPr="00C6776C" w14:paraId="219B9B8A" w14:textId="77777777" w:rsidTr="00D61EFC">
      <w:tc>
        <w:tcPr>
          <w:tcW w:w="7106" w:type="dxa"/>
        </w:tcPr>
        <w:sdt>
          <w:sdtPr>
            <w:rPr>
              <w:rFonts w:ascii="Arial" w:hAnsi="Arial" w:cs="Arial"/>
              <w:sz w:val="18"/>
              <w:szCs w:val="18"/>
            </w:rPr>
            <w:alias w:val="Underrubrik"/>
            <w:tag w:val="Underrubrik"/>
            <w:id w:val="-18931269"/>
            <w:showingPlcHdr/>
            <w:dataBinding w:prefixMappings="xmlns:ns0='http://purl.org/dc/elements/1.1/' xmlns:ns1='http://schemas.openxmlformats.org/package/2006/metadata/core-properties' " w:xpath="/ns1:coreProperties[1]/ns0:subject[1]" w:storeItemID="{6C3C8BC8-F283-45AE-878A-BAB7291924A1}"/>
            <w:text/>
          </w:sdtPr>
          <w:sdtEndPr/>
          <w:sdtContent>
            <w:p w14:paraId="05B4E6A4" w14:textId="77777777" w:rsidR="008539A7" w:rsidRPr="00C6776C" w:rsidRDefault="00BF2ED6" w:rsidP="00157707">
              <w:pPr>
                <w:pStyle w:val="Sidfot"/>
                <w:rPr>
                  <w:rFonts w:ascii="Arial" w:hAnsi="Arial" w:cs="Arial"/>
                  <w:sz w:val="18"/>
                  <w:szCs w:val="18"/>
                </w:rPr>
              </w:pPr>
              <w:r>
                <w:rPr>
                  <w:rFonts w:ascii="Arial" w:hAnsi="Arial" w:cs="Arial"/>
                  <w:sz w:val="18"/>
                  <w:szCs w:val="18"/>
                </w:rPr>
                <w:t xml:space="preserve">     </w:t>
              </w:r>
            </w:p>
          </w:sdtContent>
        </w:sdt>
      </w:tc>
      <w:tc>
        <w:tcPr>
          <w:tcW w:w="1966" w:type="dxa"/>
        </w:tcPr>
        <w:p w14:paraId="0800CBEB" w14:textId="77777777" w:rsidR="008539A7" w:rsidRPr="00C6776C" w:rsidRDefault="008539A7" w:rsidP="00157707">
          <w:pPr>
            <w:pStyle w:val="Sidfot"/>
            <w:rPr>
              <w:rFonts w:ascii="Arial" w:hAnsi="Arial" w:cs="Arial"/>
              <w:sz w:val="18"/>
              <w:szCs w:val="18"/>
            </w:rPr>
          </w:pPr>
        </w:p>
      </w:tc>
    </w:tr>
    <w:tr w:rsidR="00157707" w:rsidRPr="00C6776C" w14:paraId="4ED43E1C" w14:textId="77777777" w:rsidTr="00D61EFC">
      <w:tc>
        <w:tcPr>
          <w:tcW w:w="7106" w:type="dxa"/>
        </w:tcPr>
        <w:p w14:paraId="69AAB434" w14:textId="77777777" w:rsidR="008539A7" w:rsidRPr="00C6776C" w:rsidRDefault="008539A7" w:rsidP="00157707">
          <w:pPr>
            <w:pStyle w:val="Sidfot"/>
            <w:rPr>
              <w:rFonts w:ascii="Arial" w:hAnsi="Arial" w:cs="Arial"/>
              <w:sz w:val="18"/>
              <w:szCs w:val="18"/>
            </w:rPr>
          </w:pPr>
        </w:p>
      </w:tc>
      <w:tc>
        <w:tcPr>
          <w:tcW w:w="1966" w:type="dxa"/>
        </w:tcPr>
        <w:p w14:paraId="54D01C23" w14:textId="77777777" w:rsidR="008539A7" w:rsidRPr="00C6776C" w:rsidRDefault="00D53E2B" w:rsidP="00157707">
          <w:pPr>
            <w:pStyle w:val="Sidfot"/>
            <w:jc w:val="right"/>
            <w:rPr>
              <w:rFonts w:ascii="Arial" w:hAnsi="Arial" w:cs="Arial"/>
              <w:sz w:val="18"/>
              <w:szCs w:val="18"/>
            </w:rPr>
          </w:pPr>
          <w:sdt>
            <w:sdtPr>
              <w:rPr>
                <w:rFonts w:ascii="Arial" w:hAnsi="Arial" w:cs="Arial"/>
                <w:sz w:val="18"/>
                <w:szCs w:val="18"/>
              </w:r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rsidR="00BF2ED6" w:rsidRPr="00C6776C">
                <w:rPr>
                  <w:rFonts w:ascii="Arial" w:hAnsi="Arial" w:cs="Arial"/>
                  <w:sz w:val="18"/>
                  <w:szCs w:val="18"/>
                </w:rPr>
                <w:t xml:space="preserve">     </w:t>
              </w:r>
            </w:sdtContent>
          </w:sdt>
        </w:p>
      </w:tc>
    </w:tr>
  </w:tbl>
  <w:p w14:paraId="3F5F9861" w14:textId="77777777" w:rsidR="008539A7" w:rsidRDefault="008539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F000" w14:textId="77777777" w:rsidR="00CA18E8" w:rsidRDefault="00CA18E8" w:rsidP="00FD14E4">
      <w:pPr>
        <w:spacing w:after="0" w:line="240" w:lineRule="auto"/>
      </w:pPr>
      <w:r>
        <w:separator/>
      </w:r>
    </w:p>
  </w:footnote>
  <w:footnote w:type="continuationSeparator" w:id="0">
    <w:p w14:paraId="34AC1DEE" w14:textId="77777777" w:rsidR="00CA18E8" w:rsidRDefault="00CA18E8"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394C10" w14:paraId="0E613A84" w14:textId="77777777" w:rsidTr="00D61EFC">
      <w:tc>
        <w:tcPr>
          <w:tcW w:w="5103" w:type="dxa"/>
          <w:tcBorders>
            <w:bottom w:val="nil"/>
          </w:tcBorders>
          <w:vAlign w:val="center"/>
        </w:tcPr>
        <w:p w14:paraId="434890F0" w14:textId="77777777" w:rsidR="008539A7" w:rsidRPr="00C6776C" w:rsidRDefault="00BF2ED6" w:rsidP="00394C10">
          <w:pPr>
            <w:pStyle w:val="Sidhuvud"/>
            <w:spacing w:after="100"/>
            <w:rPr>
              <w:rFonts w:ascii="Arial" w:hAnsi="Arial" w:cs="Arial"/>
              <w:bCs/>
              <w:sz w:val="24"/>
            </w:rPr>
          </w:pPr>
          <w:r w:rsidRPr="00C6776C">
            <w:rPr>
              <w:rFonts w:ascii="Arial" w:hAnsi="Arial" w:cs="Arial"/>
              <w:bCs/>
              <w:sz w:val="24"/>
            </w:rPr>
            <w:t>Göteborgs Spårvägar AB</w:t>
          </w:r>
        </w:p>
      </w:tc>
      <w:tc>
        <w:tcPr>
          <w:tcW w:w="3969" w:type="dxa"/>
          <w:tcBorders>
            <w:bottom w:val="nil"/>
          </w:tcBorders>
        </w:tcPr>
        <w:p w14:paraId="51ED0EE5" w14:textId="77777777" w:rsidR="008539A7" w:rsidRDefault="00BF2ED6" w:rsidP="00394C10">
          <w:pPr>
            <w:pStyle w:val="Sidhuvud"/>
            <w:spacing w:after="100"/>
            <w:jc w:val="right"/>
          </w:pPr>
          <w:r>
            <w:rPr>
              <w:noProof/>
              <w:lang w:eastAsia="sv-SE"/>
            </w:rPr>
            <w:drawing>
              <wp:inline distT="0" distB="0" distL="0" distR="0" wp14:anchorId="54A836C0" wp14:editId="5449521E">
                <wp:extent cx="1441706" cy="481584"/>
                <wp:effectExtent l="0" t="0" r="8255" b="0"/>
                <wp:docPr id="20" name="Bildobjekt 20"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94C10" w14:paraId="738A7F1D" w14:textId="77777777" w:rsidTr="00D61EFC">
      <w:tc>
        <w:tcPr>
          <w:tcW w:w="5103" w:type="dxa"/>
          <w:tcBorders>
            <w:top w:val="nil"/>
            <w:bottom w:val="single" w:sz="4" w:space="0" w:color="auto"/>
          </w:tcBorders>
        </w:tcPr>
        <w:p w14:paraId="430E8CD4" w14:textId="77777777" w:rsidR="008539A7" w:rsidRDefault="008539A7" w:rsidP="00394C10">
          <w:pPr>
            <w:pStyle w:val="Sidhuvud"/>
            <w:spacing w:after="100"/>
          </w:pPr>
        </w:p>
      </w:tc>
      <w:tc>
        <w:tcPr>
          <w:tcW w:w="3969" w:type="dxa"/>
          <w:tcBorders>
            <w:bottom w:val="single" w:sz="4" w:space="0" w:color="auto"/>
          </w:tcBorders>
        </w:tcPr>
        <w:p w14:paraId="203D87AB" w14:textId="77777777" w:rsidR="008539A7" w:rsidRDefault="008539A7" w:rsidP="00394C10">
          <w:pPr>
            <w:pStyle w:val="Sidhuvud"/>
            <w:spacing w:after="100"/>
            <w:jc w:val="right"/>
          </w:pPr>
        </w:p>
      </w:tc>
    </w:tr>
  </w:tbl>
  <w:p w14:paraId="233B6D21" w14:textId="77777777" w:rsidR="008539A7" w:rsidRPr="00394C10" w:rsidRDefault="008539A7" w:rsidP="00457B16">
    <w:pPr>
      <w:pStyle w:val="Sidhuvud"/>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1684672768">
    <w:abstractNumId w:val="2"/>
  </w:num>
  <w:num w:numId="2" w16cid:durableId="1094744670">
    <w:abstractNumId w:val="2"/>
  </w:num>
  <w:num w:numId="3" w16cid:durableId="706179759">
    <w:abstractNumId w:val="2"/>
  </w:num>
  <w:num w:numId="4" w16cid:durableId="546183327">
    <w:abstractNumId w:val="2"/>
  </w:num>
  <w:num w:numId="5" w16cid:durableId="1664509498">
    <w:abstractNumId w:val="2"/>
  </w:num>
  <w:num w:numId="6" w16cid:durableId="1515534547">
    <w:abstractNumId w:val="2"/>
  </w:num>
  <w:num w:numId="7" w16cid:durableId="1602958069">
    <w:abstractNumId w:val="2"/>
  </w:num>
  <w:num w:numId="8" w16cid:durableId="981426111">
    <w:abstractNumId w:val="2"/>
  </w:num>
  <w:num w:numId="9" w16cid:durableId="338240368">
    <w:abstractNumId w:val="2"/>
  </w:num>
  <w:num w:numId="10" w16cid:durableId="2032562683">
    <w:abstractNumId w:val="2"/>
  </w:num>
  <w:num w:numId="11" w16cid:durableId="1271352748">
    <w:abstractNumId w:val="2"/>
  </w:num>
  <w:num w:numId="12" w16cid:durableId="1671525354">
    <w:abstractNumId w:val="2"/>
  </w:num>
  <w:num w:numId="13" w16cid:durableId="942763167">
    <w:abstractNumId w:val="2"/>
  </w:num>
  <w:num w:numId="14" w16cid:durableId="1518420143">
    <w:abstractNumId w:val="2"/>
  </w:num>
  <w:num w:numId="15" w16cid:durableId="1394281177">
    <w:abstractNumId w:val="2"/>
  </w:num>
  <w:num w:numId="16" w16cid:durableId="675964119">
    <w:abstractNumId w:val="2"/>
  </w:num>
  <w:num w:numId="17" w16cid:durableId="1150247855">
    <w:abstractNumId w:val="2"/>
  </w:num>
  <w:num w:numId="18" w16cid:durableId="330184899">
    <w:abstractNumId w:val="2"/>
  </w:num>
  <w:num w:numId="19" w16cid:durableId="2111001168">
    <w:abstractNumId w:val="1"/>
  </w:num>
  <w:num w:numId="20" w16cid:durableId="154201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74853"/>
    <w:rsid w:val="000C278E"/>
    <w:rsid w:val="000F6D43"/>
    <w:rsid w:val="001233CD"/>
    <w:rsid w:val="00127D82"/>
    <w:rsid w:val="001B0017"/>
    <w:rsid w:val="001D0C89"/>
    <w:rsid w:val="001E34D9"/>
    <w:rsid w:val="002A012C"/>
    <w:rsid w:val="002B32D9"/>
    <w:rsid w:val="00305336"/>
    <w:rsid w:val="0031706A"/>
    <w:rsid w:val="00326D90"/>
    <w:rsid w:val="0033640E"/>
    <w:rsid w:val="00342AB7"/>
    <w:rsid w:val="003A40E9"/>
    <w:rsid w:val="003B4ABF"/>
    <w:rsid w:val="003D0963"/>
    <w:rsid w:val="00405E3D"/>
    <w:rsid w:val="00416ADD"/>
    <w:rsid w:val="004850B1"/>
    <w:rsid w:val="004A08E3"/>
    <w:rsid w:val="00503904"/>
    <w:rsid w:val="00514099"/>
    <w:rsid w:val="0057086E"/>
    <w:rsid w:val="005A4EDC"/>
    <w:rsid w:val="005E7669"/>
    <w:rsid w:val="00623030"/>
    <w:rsid w:val="00656BC9"/>
    <w:rsid w:val="006A2256"/>
    <w:rsid w:val="006B74B7"/>
    <w:rsid w:val="00751C70"/>
    <w:rsid w:val="007A46F9"/>
    <w:rsid w:val="007A6F6A"/>
    <w:rsid w:val="007C438A"/>
    <w:rsid w:val="007D03BE"/>
    <w:rsid w:val="007F0C07"/>
    <w:rsid w:val="00803EA2"/>
    <w:rsid w:val="008277D0"/>
    <w:rsid w:val="008539A7"/>
    <w:rsid w:val="008A28D0"/>
    <w:rsid w:val="008E1B36"/>
    <w:rsid w:val="00932BB2"/>
    <w:rsid w:val="00962D10"/>
    <w:rsid w:val="00970054"/>
    <w:rsid w:val="009D0096"/>
    <w:rsid w:val="00A06539"/>
    <w:rsid w:val="00A24B46"/>
    <w:rsid w:val="00A33522"/>
    <w:rsid w:val="00A86C9B"/>
    <w:rsid w:val="00AA216E"/>
    <w:rsid w:val="00AB0EC1"/>
    <w:rsid w:val="00AD0A0D"/>
    <w:rsid w:val="00AF5336"/>
    <w:rsid w:val="00B161D4"/>
    <w:rsid w:val="00B50452"/>
    <w:rsid w:val="00B7025F"/>
    <w:rsid w:val="00BE272B"/>
    <w:rsid w:val="00BF2ED6"/>
    <w:rsid w:val="00C23D5C"/>
    <w:rsid w:val="00C91C90"/>
    <w:rsid w:val="00CA18E8"/>
    <w:rsid w:val="00CA1E51"/>
    <w:rsid w:val="00CB0C4B"/>
    <w:rsid w:val="00CB7232"/>
    <w:rsid w:val="00D33F10"/>
    <w:rsid w:val="00D53E2B"/>
    <w:rsid w:val="00D81E48"/>
    <w:rsid w:val="00E5254C"/>
    <w:rsid w:val="00E77475"/>
    <w:rsid w:val="00EF1FBF"/>
    <w:rsid w:val="00F44ACC"/>
    <w:rsid w:val="00F55619"/>
    <w:rsid w:val="00F677E1"/>
    <w:rsid w:val="00F93900"/>
    <w:rsid w:val="00FB29D2"/>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D4B97A"/>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ind w:left="57"/>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ind w:left="57"/>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4D123-C265-4B71-A796-79B3B54C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6833</Words>
  <Characters>36215</Characters>
  <Application>Microsoft Office Word</Application>
  <DocSecurity>4</DocSecurity>
  <Lines>301</Lines>
  <Paragraphs>85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nämnder och styrelser 2025</dc:title>
  <dc:subject/>
  <dc:creator>Stratsys</dc:creator>
  <cp:keywords/>
  <dc:description/>
  <cp:lastModifiedBy>Helene Fendell</cp:lastModifiedBy>
  <cp:revision>2</cp:revision>
  <dcterms:created xsi:type="dcterms:W3CDTF">2026-01-22T13:29:00Z</dcterms:created>
  <dcterms:modified xsi:type="dcterms:W3CDTF">2026-01-22T13:29:00Z</dcterms:modified>
</cp:coreProperties>
</file>