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770200" w14:paraId="743EFC7A" w14:textId="77777777" w:rsidTr="009D765D">
        <w:tc>
          <w:tcPr>
            <w:tcW w:w="5103" w:type="dxa"/>
            <w:tcBorders>
              <w:bottom w:val="nil"/>
            </w:tcBorders>
            <w:vAlign w:val="center"/>
          </w:tcPr>
          <w:p w14:paraId="35AE513C" w14:textId="77777777" w:rsidR="00770200" w:rsidRDefault="00770200">
            <w:pPr>
              <w:pStyle w:val="Sidhuvud"/>
            </w:pPr>
          </w:p>
        </w:tc>
        <w:tc>
          <w:tcPr>
            <w:tcW w:w="3969" w:type="dxa"/>
            <w:tcBorders>
              <w:bottom w:val="nil"/>
            </w:tcBorders>
          </w:tcPr>
          <w:p w14:paraId="7B6F3486" w14:textId="77777777" w:rsidR="00770200" w:rsidRDefault="00770200">
            <w:pPr>
              <w:pStyle w:val="Sidhuvud"/>
              <w:jc w:val="right"/>
            </w:pPr>
          </w:p>
        </w:tc>
      </w:tr>
      <w:tr w:rsidR="00770200" w14:paraId="14B6FB83" w14:textId="77777777" w:rsidTr="009D765D">
        <w:tc>
          <w:tcPr>
            <w:tcW w:w="5103" w:type="dxa"/>
            <w:tcBorders>
              <w:top w:val="nil"/>
              <w:bottom w:val="nil"/>
            </w:tcBorders>
          </w:tcPr>
          <w:p w14:paraId="2F68C1A4" w14:textId="32407C9E" w:rsidR="00770200" w:rsidRPr="006F660A" w:rsidRDefault="00770200">
            <w:pPr>
              <w:pStyle w:val="Sidhuvud"/>
              <w:rPr>
                <w:b/>
                <w:bCs/>
                <w:highlight w:val="yellow"/>
              </w:rPr>
            </w:pPr>
          </w:p>
        </w:tc>
        <w:tc>
          <w:tcPr>
            <w:tcW w:w="3969" w:type="dxa"/>
            <w:tcBorders>
              <w:bottom w:val="nil"/>
            </w:tcBorders>
          </w:tcPr>
          <w:p w14:paraId="60D98B04" w14:textId="77777777" w:rsidR="00770200" w:rsidRDefault="00770200">
            <w:pPr>
              <w:pStyle w:val="Sidhuvud"/>
              <w:jc w:val="right"/>
            </w:pPr>
          </w:p>
        </w:tc>
      </w:tr>
      <w:tr w:rsidR="000707CC" w14:paraId="78861801" w14:textId="77777777" w:rsidTr="009D765D">
        <w:tc>
          <w:tcPr>
            <w:tcW w:w="5103" w:type="dxa"/>
            <w:tcBorders>
              <w:top w:val="nil"/>
              <w:bottom w:val="nil"/>
            </w:tcBorders>
          </w:tcPr>
          <w:p w14:paraId="4ADB8903" w14:textId="77777777" w:rsidR="000707CC" w:rsidRPr="001205CD" w:rsidRDefault="000707CC" w:rsidP="000707CC">
            <w:pPr>
              <w:pStyle w:val="Sidhuvud"/>
              <w:spacing w:after="160" w:afterAutospacing="0"/>
              <w:rPr>
                <w:sz w:val="20"/>
                <w:szCs w:val="22"/>
                <w:highlight w:val="yellow"/>
              </w:rPr>
            </w:pPr>
          </w:p>
        </w:tc>
        <w:tc>
          <w:tcPr>
            <w:tcW w:w="3969" w:type="dxa"/>
            <w:tcBorders>
              <w:top w:val="nil"/>
              <w:bottom w:val="nil"/>
            </w:tcBorders>
          </w:tcPr>
          <w:p w14:paraId="6324094F" w14:textId="77777777" w:rsidR="000707CC" w:rsidRDefault="000707CC">
            <w:pPr>
              <w:pStyle w:val="Sidhuvud"/>
              <w:jc w:val="right"/>
            </w:pPr>
          </w:p>
        </w:tc>
      </w:tr>
    </w:tbl>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510"/>
        <w:gridCol w:w="6"/>
      </w:tblGrid>
      <w:tr w:rsidR="000707CC" w:rsidRPr="004B7EE0" w14:paraId="77F9622A" w14:textId="77777777" w:rsidTr="000707CC">
        <w:trPr>
          <w:cnfStyle w:val="100000000000" w:firstRow="1" w:lastRow="0" w:firstColumn="0" w:lastColumn="0" w:oddVBand="0" w:evenVBand="0" w:oddHBand="0" w:evenHBand="0" w:firstRowFirstColumn="0" w:firstRowLastColumn="0" w:lastRowFirstColumn="0" w:lastRowLastColumn="0"/>
          <w:trHeight w:val="1270"/>
          <w:tblHeader w:val="0"/>
        </w:trPr>
        <w:tc>
          <w:tcPr>
            <w:tcW w:w="3686" w:type="dxa"/>
            <w:shd w:val="clear" w:color="auto" w:fill="auto"/>
          </w:tcPr>
          <w:tbl>
            <w:tblPr>
              <w:tblStyle w:val="Tabellrutnt"/>
              <w:tblW w:w="9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9288"/>
              <w:gridCol w:w="222"/>
            </w:tblGrid>
            <w:tr w:rsidR="009D765D" w:rsidRPr="004B7EE0" w14:paraId="5884A530" w14:textId="77777777" w:rsidTr="001E56ED">
              <w:trPr>
                <w:trHeight w:val="500"/>
              </w:trPr>
              <w:tc>
                <w:tcPr>
                  <w:tcW w:w="9288" w:type="dxa"/>
                </w:tcPr>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6"/>
                    <w:gridCol w:w="5386"/>
                  </w:tblGrid>
                  <w:tr w:rsidR="002241FC" w:rsidRPr="004B7EE0" w14:paraId="11870B87" w14:textId="77777777" w:rsidTr="00C407B2">
                    <w:trPr>
                      <w:cnfStyle w:val="100000000000" w:firstRow="1" w:lastRow="0" w:firstColumn="0" w:lastColumn="0" w:oddVBand="0" w:evenVBand="0" w:oddHBand="0" w:evenHBand="0" w:firstRowFirstColumn="0" w:firstRowLastColumn="0" w:lastRowFirstColumn="0" w:lastRowLastColumn="0"/>
                      <w:trHeight w:val="1270"/>
                      <w:tblHeader w:val="0"/>
                    </w:trPr>
                    <w:tc>
                      <w:tcPr>
                        <w:tcW w:w="3686" w:type="dxa"/>
                        <w:shd w:val="clear" w:color="auto" w:fill="auto"/>
                      </w:tcPr>
                      <w:p w14:paraId="4B53C550" w14:textId="3ADC539C" w:rsidR="002241FC" w:rsidRPr="002241FC" w:rsidRDefault="002241FC" w:rsidP="00BC3912">
                        <w:pPr>
                          <w:pStyle w:val="Dokumentinfo"/>
                          <w:rPr>
                            <w:rFonts w:ascii="Palatino Linotype" w:hAnsi="Palatino Linotype"/>
                            <w:sz w:val="20"/>
                            <w:szCs w:val="22"/>
                          </w:rPr>
                        </w:pPr>
                        <w:r w:rsidRPr="002241FC">
                          <w:rPr>
                            <w:rFonts w:ascii="Palatino Linotype" w:hAnsi="Palatino Linotype"/>
                            <w:sz w:val="20"/>
                            <w:szCs w:val="22"/>
                          </w:rPr>
                          <w:t>Beslutsunderlag</w:t>
                        </w:r>
                      </w:p>
                      <w:p w14:paraId="67C57E14" w14:textId="0DA8B62C" w:rsidR="002241FC" w:rsidRPr="002241FC" w:rsidRDefault="002241FC" w:rsidP="00BC3912">
                        <w:pPr>
                          <w:pStyle w:val="Dokumentinfo"/>
                          <w:rPr>
                            <w:rFonts w:ascii="Palatino Linotype" w:hAnsi="Palatino Linotype"/>
                            <w:b w:val="0"/>
                            <w:sz w:val="20"/>
                            <w:szCs w:val="22"/>
                          </w:rPr>
                        </w:pPr>
                        <w:r w:rsidRPr="00FC2D1E">
                          <w:rPr>
                            <w:rFonts w:ascii="Palatino Linotype" w:hAnsi="Palatino Linotype"/>
                            <w:b w:val="0"/>
                            <w:sz w:val="20"/>
                            <w:szCs w:val="22"/>
                          </w:rPr>
                          <w:t>Styrelsen</w:t>
                        </w:r>
                        <w:r w:rsidR="00AA651C">
                          <w:rPr>
                            <w:rFonts w:ascii="Palatino Linotype" w:hAnsi="Palatino Linotype"/>
                            <w:b w:val="0"/>
                            <w:sz w:val="20"/>
                            <w:szCs w:val="22"/>
                          </w:rPr>
                          <w:t xml:space="preserve"> 2026-09-02</w:t>
                        </w:r>
                      </w:p>
                      <w:p w14:paraId="00FE9094" w14:textId="6EEB68D1" w:rsidR="00871FE6" w:rsidRDefault="002241FC" w:rsidP="00AD2B6C">
                        <w:pPr>
                          <w:pStyle w:val="Dokumentinfo"/>
                          <w:rPr>
                            <w:rFonts w:asciiTheme="minorHAnsi" w:hAnsiTheme="minorHAnsi"/>
                          </w:rPr>
                        </w:pPr>
                        <w:r w:rsidRPr="002241FC">
                          <w:rPr>
                            <w:rFonts w:ascii="Palatino Linotype" w:hAnsi="Palatino Linotype"/>
                            <w:b w:val="0"/>
                            <w:sz w:val="20"/>
                            <w:szCs w:val="22"/>
                          </w:rPr>
                          <w:t>Ärende</w:t>
                        </w:r>
                        <w:r w:rsidR="00F40000">
                          <w:rPr>
                            <w:rFonts w:ascii="Palatino Linotype" w:hAnsi="Palatino Linotype"/>
                            <w:b w:val="0"/>
                            <w:sz w:val="20"/>
                            <w:szCs w:val="22"/>
                          </w:rPr>
                          <w:t xml:space="preserve">: </w:t>
                        </w:r>
                        <w:r w:rsidR="00871FE6" w:rsidRPr="00871FE6">
                          <w:rPr>
                            <w:rFonts w:asciiTheme="minorHAnsi" w:hAnsiTheme="minorHAnsi"/>
                            <w:b w:val="0"/>
                          </w:rPr>
                          <w:t xml:space="preserve"> </w:t>
                        </w:r>
                        <w:r w:rsidR="00871FE6">
                          <w:t xml:space="preserve"> </w:t>
                        </w:r>
                        <w:r w:rsidR="004B7EE0">
                          <w:rPr>
                            <w:rFonts w:asciiTheme="minorHAnsi" w:hAnsiTheme="minorHAnsi"/>
                            <w:b w:val="0"/>
                          </w:rPr>
                          <w:t>17</w:t>
                        </w:r>
                      </w:p>
                      <w:p w14:paraId="37684569" w14:textId="58243B2A" w:rsidR="00AD2B6C" w:rsidRPr="00EE09B5" w:rsidRDefault="00871FE6" w:rsidP="00AD2B6C">
                        <w:pPr>
                          <w:pStyle w:val="Dokumentinfo"/>
                          <w:rPr>
                            <w:b w:val="0"/>
                            <w:bCs/>
                          </w:rPr>
                        </w:pPr>
                        <w:r w:rsidRPr="00871FE6">
                          <w:rPr>
                            <w:rFonts w:ascii="Palatino Linotype" w:hAnsi="Palatino Linotype"/>
                            <w:b w:val="0"/>
                            <w:sz w:val="20"/>
                            <w:szCs w:val="22"/>
                          </w:rPr>
                          <w:t>Diarienummer 0078/25</w:t>
                        </w:r>
                      </w:p>
                      <w:p w14:paraId="174C1BE2" w14:textId="77777777" w:rsidR="002241FC" w:rsidRPr="002241FC" w:rsidRDefault="002241FC" w:rsidP="00AD2B6C">
                        <w:pPr>
                          <w:pStyle w:val="Dokumentinfo"/>
                          <w:rPr>
                            <w:rFonts w:ascii="Palatino Linotype" w:hAnsi="Palatino Linotype"/>
                            <w:b w:val="0"/>
                            <w:sz w:val="20"/>
                            <w:szCs w:val="22"/>
                          </w:rPr>
                        </w:pPr>
                      </w:p>
                    </w:tc>
                    <w:tc>
                      <w:tcPr>
                        <w:tcW w:w="5386" w:type="dxa"/>
                        <w:shd w:val="clear" w:color="auto" w:fill="auto"/>
                      </w:tcPr>
                      <w:p w14:paraId="5DD67721" w14:textId="6ACBE3A3" w:rsidR="002241FC" w:rsidRPr="002241FC" w:rsidRDefault="002241FC" w:rsidP="00BC3912">
                        <w:pPr>
                          <w:pStyle w:val="Dokumentinfo"/>
                          <w:rPr>
                            <w:rFonts w:ascii="Palatino Linotype" w:hAnsi="Palatino Linotype"/>
                            <w:b w:val="0"/>
                            <w:sz w:val="20"/>
                            <w:szCs w:val="22"/>
                          </w:rPr>
                        </w:pPr>
                        <w:r w:rsidRPr="002241FC">
                          <w:rPr>
                            <w:rFonts w:ascii="Palatino Linotype" w:hAnsi="Palatino Linotype"/>
                            <w:b w:val="0"/>
                            <w:sz w:val="20"/>
                            <w:szCs w:val="22"/>
                          </w:rPr>
                          <w:t xml:space="preserve">Handläggare: </w:t>
                        </w:r>
                        <w:r w:rsidR="00A952E5">
                          <w:rPr>
                            <w:rFonts w:ascii="Palatino Linotype" w:hAnsi="Palatino Linotype"/>
                            <w:b w:val="0"/>
                            <w:sz w:val="20"/>
                            <w:szCs w:val="22"/>
                          </w:rPr>
                          <w:t>Karin Ingelhag</w:t>
                        </w:r>
                        <w:r w:rsidR="00871FE6">
                          <w:rPr>
                            <w:rFonts w:ascii="Palatino Linotype" w:hAnsi="Palatino Linotype"/>
                            <w:b w:val="0"/>
                            <w:sz w:val="20"/>
                            <w:szCs w:val="22"/>
                          </w:rPr>
                          <w:t>, Karin Forsberg</w:t>
                        </w:r>
                      </w:p>
                      <w:p w14:paraId="07A51884" w14:textId="67D2671A" w:rsidR="002241FC" w:rsidRPr="00871FE6" w:rsidRDefault="002241FC" w:rsidP="00BC3912">
                        <w:pPr>
                          <w:pStyle w:val="Dokumentinfo"/>
                          <w:rPr>
                            <w:rFonts w:ascii="Palatino Linotype" w:hAnsi="Palatino Linotype"/>
                            <w:b w:val="0"/>
                            <w:sz w:val="20"/>
                            <w:szCs w:val="22"/>
                            <w:lang w:val="de-DE"/>
                          </w:rPr>
                        </w:pPr>
                        <w:r w:rsidRPr="00AA651C">
                          <w:rPr>
                            <w:rFonts w:ascii="Palatino Linotype" w:hAnsi="Palatino Linotype"/>
                            <w:b w:val="0"/>
                            <w:sz w:val="20"/>
                            <w:szCs w:val="22"/>
                          </w:rPr>
                          <w:t>Telefon:</w:t>
                        </w:r>
                        <w:r w:rsidR="00F40000" w:rsidRPr="00AA651C">
                          <w:rPr>
                            <w:rFonts w:ascii="Palatino Linotype" w:hAnsi="Palatino Linotype"/>
                            <w:b w:val="0"/>
                            <w:sz w:val="20"/>
                            <w:szCs w:val="22"/>
                          </w:rPr>
                          <w:t xml:space="preserve"> 07</w:t>
                        </w:r>
                        <w:r w:rsidR="00A952E5" w:rsidRPr="00AA651C">
                          <w:rPr>
                            <w:rFonts w:ascii="Palatino Linotype" w:hAnsi="Palatino Linotype"/>
                            <w:b w:val="0"/>
                            <w:sz w:val="20"/>
                            <w:szCs w:val="22"/>
                          </w:rPr>
                          <w:t>02</w:t>
                        </w:r>
                        <w:r w:rsidR="00F40000" w:rsidRPr="00AA651C">
                          <w:rPr>
                            <w:rFonts w:ascii="Palatino Linotype" w:hAnsi="Palatino Linotype"/>
                            <w:b w:val="0"/>
                            <w:sz w:val="20"/>
                            <w:szCs w:val="22"/>
                          </w:rPr>
                          <w:t>-</w:t>
                        </w:r>
                        <w:r w:rsidR="00A952E5" w:rsidRPr="00AA651C">
                          <w:rPr>
                            <w:rFonts w:ascii="Palatino Linotype" w:hAnsi="Palatino Linotype"/>
                            <w:b w:val="0"/>
                            <w:sz w:val="20"/>
                            <w:szCs w:val="22"/>
                          </w:rPr>
                          <w:t>215806</w:t>
                        </w:r>
                        <w:r w:rsidR="00871FE6" w:rsidRPr="00AA651C">
                          <w:rPr>
                            <w:rFonts w:ascii="Palatino Linotype" w:hAnsi="Palatino Linotype"/>
                            <w:b w:val="0"/>
                            <w:sz w:val="20"/>
                            <w:szCs w:val="22"/>
                          </w:rPr>
                          <w:t xml:space="preserve">. </w:t>
                        </w:r>
                        <w:r w:rsidR="00871FE6" w:rsidRPr="00871FE6">
                          <w:rPr>
                            <w:rFonts w:ascii="Palatino Linotype" w:hAnsi="Palatino Linotype"/>
                            <w:b w:val="0"/>
                            <w:sz w:val="20"/>
                            <w:szCs w:val="22"/>
                            <w:lang w:val="de-DE"/>
                          </w:rPr>
                          <w:t>0738669485</w:t>
                        </w:r>
                      </w:p>
                      <w:p w14:paraId="63AA262A" w14:textId="443CE008" w:rsidR="002241FC" w:rsidRPr="00871FE6" w:rsidRDefault="002241FC" w:rsidP="00BC3912">
                        <w:pPr>
                          <w:pStyle w:val="Dokumentinfo"/>
                          <w:rPr>
                            <w:rFonts w:ascii="Palatino Linotype" w:hAnsi="Palatino Linotype"/>
                            <w:b w:val="0"/>
                            <w:sz w:val="20"/>
                            <w:szCs w:val="22"/>
                            <w:lang w:val="de-DE"/>
                          </w:rPr>
                        </w:pPr>
                        <w:r w:rsidRPr="00871FE6">
                          <w:rPr>
                            <w:rFonts w:ascii="Palatino Linotype" w:hAnsi="Palatino Linotype"/>
                            <w:b w:val="0"/>
                            <w:sz w:val="20"/>
                            <w:szCs w:val="22"/>
                            <w:lang w:val="de-DE"/>
                          </w:rPr>
                          <w:t xml:space="preserve">E-post: </w:t>
                        </w:r>
                        <w:hyperlink r:id="rId11" w:history="1">
                          <w:r w:rsidR="00871FE6" w:rsidRPr="00871FE6">
                            <w:rPr>
                              <w:rStyle w:val="Hyperlnk"/>
                              <w:rFonts w:ascii="Palatino Linotype" w:hAnsi="Palatino Linotype"/>
                              <w:sz w:val="20"/>
                              <w:szCs w:val="22"/>
                              <w:lang w:val="de-DE"/>
                            </w:rPr>
                            <w:t>karin.ingelhag@businessregion.se</w:t>
                          </w:r>
                        </w:hyperlink>
                        <w:r w:rsidR="00871FE6" w:rsidRPr="00871FE6">
                          <w:rPr>
                            <w:rFonts w:ascii="Palatino Linotype" w:hAnsi="Palatino Linotype"/>
                            <w:b w:val="0"/>
                            <w:sz w:val="20"/>
                            <w:szCs w:val="22"/>
                            <w:lang w:val="de-DE"/>
                          </w:rPr>
                          <w:t xml:space="preserve">, </w:t>
                        </w:r>
                        <w:hyperlink r:id="rId12" w:history="1">
                          <w:r w:rsidR="00871FE6" w:rsidRPr="00C65721">
                            <w:rPr>
                              <w:rStyle w:val="Hyperlnk"/>
                              <w:rFonts w:ascii="Palatino Linotype" w:hAnsi="Palatino Linotype"/>
                              <w:sz w:val="20"/>
                              <w:szCs w:val="22"/>
                              <w:lang w:val="de-DE"/>
                            </w:rPr>
                            <w:t>karin.forsberg@businessregion.se</w:t>
                          </w:r>
                        </w:hyperlink>
                        <w:r w:rsidR="00871FE6">
                          <w:rPr>
                            <w:rFonts w:ascii="Palatino Linotype" w:hAnsi="Palatino Linotype"/>
                            <w:b w:val="0"/>
                            <w:sz w:val="20"/>
                            <w:szCs w:val="22"/>
                            <w:lang w:val="de-DE"/>
                          </w:rPr>
                          <w:t xml:space="preserve"> </w:t>
                        </w:r>
                        <w:r w:rsidRPr="00871FE6">
                          <w:rPr>
                            <w:rFonts w:ascii="Palatino Linotype" w:hAnsi="Palatino Linotype"/>
                            <w:b w:val="0"/>
                            <w:sz w:val="20"/>
                            <w:szCs w:val="22"/>
                            <w:lang w:val="de-DE"/>
                          </w:rPr>
                          <w:t xml:space="preserve"> </w:t>
                        </w:r>
                      </w:p>
                    </w:tc>
                  </w:tr>
                </w:tbl>
                <w:p w14:paraId="04D1ED99" w14:textId="77777777" w:rsidR="009D765D" w:rsidRPr="00871FE6" w:rsidRDefault="009D765D" w:rsidP="00BC3912">
                  <w:pPr>
                    <w:pStyle w:val="Dokumentinfo"/>
                    <w:framePr w:hSpace="142" w:wrap="around" w:vAnchor="text" w:hAnchor="page" w:x="1419" w:y="1"/>
                    <w:suppressOverlap/>
                    <w:rPr>
                      <w:rFonts w:ascii="Palatino Linotype" w:hAnsi="Palatino Linotype"/>
                      <w:sz w:val="18"/>
                      <w:szCs w:val="20"/>
                      <w:lang w:val="de-DE"/>
                    </w:rPr>
                  </w:pPr>
                </w:p>
              </w:tc>
              <w:tc>
                <w:tcPr>
                  <w:tcW w:w="222" w:type="dxa"/>
                </w:tcPr>
                <w:p w14:paraId="0494B8DD" w14:textId="77777777" w:rsidR="009D765D" w:rsidRPr="00871FE6" w:rsidRDefault="009D765D" w:rsidP="00BC3912">
                  <w:pPr>
                    <w:pStyle w:val="Dokumentinfo"/>
                    <w:framePr w:hSpace="142" w:wrap="around" w:vAnchor="text" w:hAnchor="page" w:x="1419" w:y="1"/>
                    <w:suppressOverlap/>
                    <w:rPr>
                      <w:rFonts w:ascii="Palatino Linotype" w:hAnsi="Palatino Linotype"/>
                      <w:b/>
                      <w:sz w:val="18"/>
                      <w:szCs w:val="20"/>
                      <w:lang w:val="de-DE"/>
                    </w:rPr>
                  </w:pPr>
                </w:p>
              </w:tc>
            </w:tr>
            <w:tr w:rsidR="009D765D" w:rsidRPr="004B7EE0" w14:paraId="7BEEC809" w14:textId="77777777" w:rsidTr="001E56ED">
              <w:tc>
                <w:tcPr>
                  <w:tcW w:w="9288" w:type="dxa"/>
                </w:tcPr>
                <w:p w14:paraId="73C21766" w14:textId="77777777" w:rsidR="009D765D" w:rsidRPr="00871FE6" w:rsidRDefault="009D765D" w:rsidP="004B7EE0">
                  <w:pPr>
                    <w:pStyle w:val="Dokumentinfo"/>
                    <w:framePr w:hSpace="142" w:wrap="around" w:vAnchor="text" w:hAnchor="page" w:x="1419" w:y="1"/>
                    <w:suppressOverlap/>
                    <w:rPr>
                      <w:rFonts w:ascii="Palatino Linotype" w:hAnsi="Palatino Linotype"/>
                      <w:b/>
                      <w:sz w:val="18"/>
                      <w:szCs w:val="20"/>
                      <w:lang w:val="de-DE"/>
                    </w:rPr>
                  </w:pPr>
                  <w:bookmarkStart w:id="0" w:name="_Toc478651876"/>
                </w:p>
              </w:tc>
              <w:tc>
                <w:tcPr>
                  <w:tcW w:w="222" w:type="dxa"/>
                </w:tcPr>
                <w:p w14:paraId="780892A5" w14:textId="77777777" w:rsidR="009D765D" w:rsidRPr="00871FE6" w:rsidRDefault="009D765D" w:rsidP="004B7EE0">
                  <w:pPr>
                    <w:pStyle w:val="Dokumentinfo"/>
                    <w:framePr w:hSpace="142" w:wrap="around" w:vAnchor="text" w:hAnchor="page" w:x="1419" w:y="1"/>
                    <w:suppressOverlap/>
                    <w:rPr>
                      <w:rFonts w:ascii="Palatino Linotype" w:hAnsi="Palatino Linotype"/>
                      <w:b/>
                      <w:sz w:val="18"/>
                      <w:szCs w:val="20"/>
                      <w:lang w:val="de-DE"/>
                    </w:rPr>
                  </w:pPr>
                </w:p>
              </w:tc>
            </w:tr>
            <w:tr w:rsidR="009D765D" w:rsidRPr="004B7EE0" w14:paraId="4B5C8CA1" w14:textId="77777777" w:rsidTr="001E56ED">
              <w:tc>
                <w:tcPr>
                  <w:tcW w:w="9288" w:type="dxa"/>
                </w:tcPr>
                <w:p w14:paraId="127D0A77" w14:textId="77777777" w:rsidR="00E54C6C" w:rsidRPr="00871FE6" w:rsidRDefault="00E54C6C" w:rsidP="004B7EE0">
                  <w:pPr>
                    <w:pStyle w:val="Dokumentinfo"/>
                    <w:framePr w:hSpace="142" w:wrap="around" w:vAnchor="text" w:hAnchor="page" w:x="1419" w:y="1"/>
                    <w:suppressOverlap/>
                    <w:rPr>
                      <w:rFonts w:ascii="Palatino Linotype" w:hAnsi="Palatino Linotype"/>
                      <w:b/>
                      <w:sz w:val="18"/>
                      <w:szCs w:val="20"/>
                      <w:lang w:val="de-DE"/>
                    </w:rPr>
                  </w:pPr>
                </w:p>
              </w:tc>
              <w:tc>
                <w:tcPr>
                  <w:tcW w:w="222" w:type="dxa"/>
                </w:tcPr>
                <w:p w14:paraId="6207412F" w14:textId="77777777" w:rsidR="009D765D" w:rsidRPr="00871FE6" w:rsidRDefault="009D765D" w:rsidP="004B7EE0">
                  <w:pPr>
                    <w:pStyle w:val="Dokumentinfo"/>
                    <w:framePr w:hSpace="142" w:wrap="around" w:vAnchor="text" w:hAnchor="page" w:x="1419" w:y="1"/>
                    <w:suppressOverlap/>
                    <w:rPr>
                      <w:rFonts w:ascii="Palatino Linotype" w:hAnsi="Palatino Linotype"/>
                      <w:b/>
                      <w:sz w:val="18"/>
                      <w:szCs w:val="20"/>
                      <w:lang w:val="de-DE"/>
                    </w:rPr>
                  </w:pPr>
                </w:p>
              </w:tc>
            </w:tr>
          </w:tbl>
          <w:p w14:paraId="388BCD30" w14:textId="77777777" w:rsidR="000707CC" w:rsidRPr="00871FE6" w:rsidRDefault="000707CC" w:rsidP="000707CC">
            <w:pPr>
              <w:pStyle w:val="Dokumentinfo"/>
              <w:rPr>
                <w:rFonts w:ascii="Palatino Linotype" w:hAnsi="Palatino Linotype"/>
                <w:b w:val="0"/>
                <w:lang w:val="de-DE"/>
              </w:rPr>
            </w:pPr>
          </w:p>
        </w:tc>
        <w:tc>
          <w:tcPr>
            <w:tcW w:w="5386" w:type="dxa"/>
            <w:shd w:val="clear" w:color="auto" w:fill="auto"/>
          </w:tcPr>
          <w:p w14:paraId="664B75F7" w14:textId="77777777" w:rsidR="000707CC" w:rsidRPr="00871FE6" w:rsidRDefault="000707CC" w:rsidP="000707CC">
            <w:pPr>
              <w:pStyle w:val="Dokumentinfo"/>
              <w:rPr>
                <w:rFonts w:ascii="Palatino Linotype" w:hAnsi="Palatino Linotype"/>
                <w:b w:val="0"/>
                <w:lang w:val="de-DE"/>
              </w:rPr>
            </w:pPr>
          </w:p>
        </w:tc>
      </w:tr>
    </w:tbl>
    <w:bookmarkEnd w:id="0"/>
    <w:p w14:paraId="3303E167" w14:textId="65374C04" w:rsidR="00EE09B5" w:rsidRPr="00EE09B5" w:rsidRDefault="00A952E5" w:rsidP="00EE09B5">
      <w:pPr>
        <w:pStyle w:val="Rubrik1"/>
        <w:rPr>
          <w:color w:val="3B5776"/>
          <w:sz w:val="30"/>
          <w:szCs w:val="30"/>
        </w:rPr>
      </w:pPr>
      <w:r>
        <w:rPr>
          <w:color w:val="3B5776"/>
          <w:sz w:val="30"/>
          <w:szCs w:val="30"/>
        </w:rPr>
        <w:t xml:space="preserve">Svar på remiss – </w:t>
      </w:r>
      <w:r w:rsidR="00871FE6" w:rsidRPr="00871FE6">
        <w:rPr>
          <w:color w:val="3B5776"/>
          <w:sz w:val="30"/>
          <w:szCs w:val="30"/>
        </w:rPr>
        <w:t>Motion av Mariah ben Salem Dynehäll (L) och Eva Flyborg (L) om avgifter för gårdsförsäljning</w:t>
      </w:r>
    </w:p>
    <w:p w14:paraId="21E0FC93" w14:textId="5F975EA8" w:rsidR="00A952E5" w:rsidRPr="00A952E5" w:rsidRDefault="00A952E5" w:rsidP="00A952E5"/>
    <w:p w14:paraId="621A2E63" w14:textId="2CF68313" w:rsidR="00AA651C" w:rsidRDefault="00240457" w:rsidP="00175772">
      <w:pPr>
        <w:pStyle w:val="Rubrik2"/>
        <w:rPr>
          <w:rFonts w:ascii="Arial Black" w:hAnsi="Arial Black"/>
          <w:color w:val="3B5776"/>
          <w:sz w:val="24"/>
          <w:szCs w:val="24"/>
        </w:rPr>
      </w:pPr>
      <w:r>
        <w:rPr>
          <w:rFonts w:ascii="Arial Black" w:hAnsi="Arial Black"/>
          <w:color w:val="3B5776"/>
          <w:sz w:val="24"/>
          <w:szCs w:val="24"/>
        </w:rPr>
        <w:t>Förslag till beslut</w:t>
      </w:r>
    </w:p>
    <w:p w14:paraId="131F9938" w14:textId="69EBFF83" w:rsidR="00AE16A0" w:rsidRPr="00AE16A0" w:rsidRDefault="00FE6B5B" w:rsidP="00AE16A0">
      <w:r>
        <w:t>Att godkänna</w:t>
      </w:r>
      <w:r w:rsidR="00CA7DF2">
        <w:t xml:space="preserve"> förslag till yttrande</w:t>
      </w:r>
    </w:p>
    <w:p w14:paraId="41168F33" w14:textId="77777777" w:rsidR="00AA651C" w:rsidRDefault="00AA651C" w:rsidP="00175772">
      <w:pPr>
        <w:pStyle w:val="Rubrik2"/>
        <w:rPr>
          <w:rFonts w:ascii="Arial Black" w:hAnsi="Arial Black"/>
          <w:color w:val="3B5776"/>
          <w:sz w:val="24"/>
          <w:szCs w:val="24"/>
        </w:rPr>
      </w:pPr>
    </w:p>
    <w:p w14:paraId="07682607" w14:textId="217282F4" w:rsidR="000267BB" w:rsidRDefault="000267BB" w:rsidP="00175772">
      <w:pPr>
        <w:pStyle w:val="Rubrik2"/>
        <w:rPr>
          <w:rFonts w:ascii="Arial Black" w:hAnsi="Arial Black"/>
          <w:color w:val="3B5776"/>
          <w:sz w:val="24"/>
          <w:szCs w:val="24"/>
        </w:rPr>
      </w:pPr>
      <w:r w:rsidRPr="007E6582">
        <w:rPr>
          <w:rFonts w:ascii="Arial Black" w:hAnsi="Arial Black"/>
          <w:color w:val="3B5776"/>
          <w:sz w:val="24"/>
          <w:szCs w:val="24"/>
        </w:rPr>
        <w:t>Sammanfattning</w:t>
      </w:r>
    </w:p>
    <w:p w14:paraId="3CD96CB9" w14:textId="6777FBCF" w:rsidR="002103CC" w:rsidRDefault="00175772" w:rsidP="002103CC">
      <w:r>
        <w:t>Avgiftsnivån för gårdsförs</w:t>
      </w:r>
      <w:r w:rsidR="00C832A1">
        <w:t>ä</w:t>
      </w:r>
      <w:r>
        <w:t xml:space="preserve">ljning av alkoholhaltiga drycker är betydligt högre i Göteborg än i närliggande kommuner. Det försvårar, och i viss mån omöjliggör, för företagen att ens ansöka om prövning eller att bedriva </w:t>
      </w:r>
      <w:r w:rsidR="0067423A">
        <w:t>gårdsförsäljning</w:t>
      </w:r>
      <w:r>
        <w:t>.</w:t>
      </w:r>
      <w:r w:rsidR="00584995">
        <w:t xml:space="preserve"> </w:t>
      </w:r>
      <w:r>
        <w:t xml:space="preserve">Flera av dessa företag har idag </w:t>
      </w:r>
      <w:r w:rsidR="00584995">
        <w:t xml:space="preserve">dessutom </w:t>
      </w:r>
      <w:r>
        <w:t>ett befintligt serveringstillstånd</w:t>
      </w:r>
      <w:r w:rsidR="0010013C">
        <w:t xml:space="preserve">. </w:t>
      </w:r>
      <w:r w:rsidR="002103CC" w:rsidRPr="00C832A1">
        <w:t xml:space="preserve">Göteborg ska vara en stad som främjar </w:t>
      </w:r>
      <w:r w:rsidR="0067423A" w:rsidRPr="00C832A1">
        <w:t>företagsamhet</w:t>
      </w:r>
      <w:r w:rsidR="002103CC" w:rsidRPr="00C832A1">
        <w:t xml:space="preserve">, lokal produktion och småskaligt entreprenörskap. Kommunen bör skapa möjligheter för näringsidkare – inte sätta upp orimliga hinder i form av höga avgifter, krångel och byråkrati. I dagsläget är avgiften för gårdsförsäljning i Göteborg 24 600 kronor. Det har nu lagts fram ett nytt förslag i kommunstyrelsen om att sänka avgiften till 12 000 kronor för prövningstillstånd och 7 900 kronor för årlig tillsyn. Även om detta är en sänkning, är avgiften fortfarande avsevärt högre än i många andra kommuner. Som jämförelse tar Kungsbacka ut 360 kronor för motsvarande tillstånd. Skillnaden är anmärkningsvärd och fungerar i praktiken som ett hinder för lokala producenter som vill utveckla sin verksamhet. </w:t>
      </w:r>
    </w:p>
    <w:p w14:paraId="797E403C" w14:textId="77777777" w:rsidR="0010013C" w:rsidRPr="0067423A" w:rsidRDefault="0010013C" w:rsidP="0010013C">
      <w:pPr>
        <w:pStyle w:val="Rubrik2"/>
        <w:rPr>
          <w:rFonts w:ascii="Arial Black" w:hAnsi="Arial Black"/>
          <w:color w:val="3B5776"/>
          <w:sz w:val="16"/>
          <w:szCs w:val="16"/>
        </w:rPr>
      </w:pPr>
      <w:r w:rsidRPr="0067423A">
        <w:rPr>
          <w:rFonts w:ascii="Arial Black" w:hAnsi="Arial Black"/>
          <w:color w:val="3B5776"/>
          <w:sz w:val="24"/>
          <w:szCs w:val="24"/>
        </w:rPr>
        <w:t>Ärendet</w:t>
      </w:r>
    </w:p>
    <w:p w14:paraId="7E4EE4CD" w14:textId="154AE760" w:rsidR="006834AE" w:rsidRPr="00C832A1" w:rsidRDefault="002103CC" w:rsidP="002103CC">
      <w:r w:rsidRPr="00C832A1">
        <w:t>Konsekvenserna av Göteborgs nuvarande avgiftsnivå har redan blivit tydliga: intresset för att ansöka om tillstånd har varit mycket lågt, och enligt tillgängliga uppgifter har nästan inga näringsidkare hittills ansökt i Göteborg. Detta står i kontrast till kommuner med lägre avgifter, där fler aktörer har valt att ta steget. Höga avgifter riskerar därför att hämma besöksnäring, lokalt företagande och utvecklingen av nya initiativ. För att Göteborg ska vara en attraktiv stad för entreprenörer behöver avgifterna för gårdsförsäljning kraftigt sänkas. Kommunen bör dessutom sträva efter att alltid ligga på en nivå som gör det möjligt för fler att delta, och därmed bidra till ett livskraftigt näringsliv.</w:t>
      </w:r>
    </w:p>
    <w:p w14:paraId="58C5F1E4" w14:textId="77777777" w:rsidR="006834AE" w:rsidRPr="00C832A1" w:rsidRDefault="006834AE" w:rsidP="002103CC">
      <w:r w:rsidRPr="00C832A1">
        <w:t xml:space="preserve">Förslag till beslut i kommunfullmäktige: </w:t>
      </w:r>
    </w:p>
    <w:p w14:paraId="1A2D2A2D" w14:textId="77777777" w:rsidR="006834AE" w:rsidRPr="00C832A1" w:rsidRDefault="006834AE" w:rsidP="006834AE">
      <w:pPr>
        <w:pStyle w:val="Ingetavstnd"/>
        <w:rPr>
          <w:sz w:val="20"/>
          <w:szCs w:val="20"/>
        </w:rPr>
      </w:pPr>
      <w:r w:rsidRPr="00C832A1">
        <w:rPr>
          <w:sz w:val="20"/>
          <w:szCs w:val="20"/>
        </w:rPr>
        <w:t xml:space="preserve">1. Avgiften för prövning av gårdsförsäljningstillstånd i Göteborg sätts till 0 kronor. </w:t>
      </w:r>
    </w:p>
    <w:p w14:paraId="7C83E744" w14:textId="3CDD8B13" w:rsidR="006834AE" w:rsidRPr="002103CC" w:rsidRDefault="006834AE" w:rsidP="006834AE">
      <w:pPr>
        <w:pStyle w:val="Ingetavstnd"/>
      </w:pPr>
      <w:r w:rsidRPr="00C832A1">
        <w:rPr>
          <w:sz w:val="20"/>
          <w:szCs w:val="20"/>
        </w:rPr>
        <w:lastRenderedPageBreak/>
        <w:t xml:space="preserve">2. Den årliga tillsynsavgiften för gårdsförsäljning i Göteborg sätts till </w:t>
      </w:r>
      <w:r w:rsidRPr="00C832A1">
        <w:t>2 000 kronor</w:t>
      </w:r>
    </w:p>
    <w:p w14:paraId="0C17955D" w14:textId="77777777" w:rsidR="002103CC" w:rsidRDefault="002103CC" w:rsidP="00871FE6"/>
    <w:p w14:paraId="30C535B4" w14:textId="77777777" w:rsidR="002103CC" w:rsidRDefault="002103CC" w:rsidP="00871FE6"/>
    <w:p w14:paraId="4E447F36" w14:textId="77777777" w:rsidR="002103CC" w:rsidRDefault="002103CC" w:rsidP="00871FE6"/>
    <w:p w14:paraId="5432DC5D" w14:textId="77777777" w:rsidR="002103CC" w:rsidRPr="00871FE6" w:rsidRDefault="002103CC" w:rsidP="00871FE6"/>
    <w:p w14:paraId="58196783" w14:textId="61A50346" w:rsidR="00871FE6" w:rsidRPr="00871FE6" w:rsidRDefault="00871FE6" w:rsidP="00871FE6">
      <w:r w:rsidRPr="00B50BBC">
        <w:rPr>
          <w:rFonts w:ascii="Arial Black" w:eastAsiaTheme="majorEastAsia" w:hAnsi="Arial Black" w:cstheme="majorBidi"/>
          <w:b/>
          <w:color w:val="3B5776"/>
        </w:rPr>
        <w:t>Bedömning ur ekonomisk, ekologisk och social dimension</w:t>
      </w:r>
    </w:p>
    <w:p w14:paraId="613BAD32" w14:textId="39FCFF0C" w:rsidR="00871FE6" w:rsidRPr="00871FE6" w:rsidRDefault="00871FE6" w:rsidP="00871FE6">
      <w:r w:rsidRPr="0067423A">
        <w:t>Enskilda näringsidkare</w:t>
      </w:r>
      <w:r w:rsidRPr="00871FE6">
        <w:t>. Småskaliga producenter bär många instegskostnader och avgift för prövning och tillsyn av gårdsförsäljning är en av dessa. Avgiften bör därav vara skälig och rättvisande och stå i proportion till näringsidkarens betalningsförmåga. Kost</w:t>
      </w:r>
      <w:r w:rsidR="00734335">
        <w:t>naden</w:t>
      </w:r>
      <w:r w:rsidRPr="00871FE6">
        <w:t xml:space="preserve"> bör ligga i </w:t>
      </w:r>
      <w:r w:rsidR="00734335">
        <w:t>nivå</w:t>
      </w:r>
      <w:r w:rsidRPr="00871FE6">
        <w:t xml:space="preserve"> med andra kommu</w:t>
      </w:r>
      <w:r w:rsidR="00A476C3">
        <w:t xml:space="preserve">ners </w:t>
      </w:r>
      <w:r w:rsidR="00EA564B">
        <w:t>avgifter.</w:t>
      </w:r>
      <w:r w:rsidRPr="00871FE6">
        <w:t xml:space="preserve">  </w:t>
      </w:r>
    </w:p>
    <w:p w14:paraId="744AB489" w14:textId="410C5F3A" w:rsidR="00871FE6" w:rsidRPr="00871FE6" w:rsidRDefault="00871FE6" w:rsidP="00871FE6">
      <w:r w:rsidRPr="00871FE6">
        <w:t xml:space="preserve">En reducerad avgift för prövning och tillsyn av gårdsförsäljning ligger i linje med stadens arbete med att skapa goda förutsättningar för företagande, stärka företagsklimat och stadens innovationskraft, enligt Göteborgs stads Näringslivs strategiska program. </w:t>
      </w:r>
    </w:p>
    <w:p w14:paraId="304374A9" w14:textId="4CA6B6C9" w:rsidR="00871FE6" w:rsidRPr="00871FE6" w:rsidRDefault="00871FE6" w:rsidP="00871FE6">
      <w:r w:rsidRPr="00871FE6">
        <w:t xml:space="preserve">En reducerad avgift för företag med gårdsförsäljning </w:t>
      </w:r>
      <w:r w:rsidR="00691815">
        <w:t xml:space="preserve">skulle ha </w:t>
      </w:r>
      <w:r w:rsidRPr="00871FE6">
        <w:t xml:space="preserve">en positiv påverkan på stadens arbete för att stärka </w:t>
      </w:r>
      <w:r w:rsidR="00691815">
        <w:t xml:space="preserve">företagsklimatet och </w:t>
      </w:r>
      <w:r w:rsidRPr="00871FE6">
        <w:t>entreprenörskap</w:t>
      </w:r>
      <w:r w:rsidR="00691815">
        <w:t>et</w:t>
      </w:r>
      <w:r w:rsidRPr="00871FE6">
        <w:t>, vilket stärker vår attraktionskraft som stad för företagande. Vidare har en reducerad avgift för företag med gårdsförsäljning</w:t>
      </w:r>
      <w:r w:rsidR="000267BB">
        <w:t xml:space="preserve">, </w:t>
      </w:r>
      <w:r w:rsidRPr="00871FE6">
        <w:t>en positiv påverkan på stadens arbete för lokal innovation och vara en del av värdekedjan för besöksnäringen.</w:t>
      </w:r>
    </w:p>
    <w:p w14:paraId="4C4CC23E" w14:textId="13E5435E" w:rsidR="000267BB" w:rsidRDefault="00061F3A" w:rsidP="00C832A1">
      <w:r>
        <w:t>Göteborgs k</w:t>
      </w:r>
      <w:r w:rsidR="00871FE6" w:rsidRPr="00871FE6">
        <w:t>ommunen bör se över sina avgifter och verka för en ökad effektivitet.</w:t>
      </w:r>
      <w:r w:rsidR="00D23F9F">
        <w:t xml:space="preserve"> </w:t>
      </w:r>
      <w:r w:rsidR="00BA4781">
        <w:t xml:space="preserve">Särskilt avgiften </w:t>
      </w:r>
      <w:r w:rsidR="000267BB">
        <w:t>för företag som redan</w:t>
      </w:r>
      <w:r w:rsidR="00BA4781">
        <w:t xml:space="preserve"> har tillstånd för</w:t>
      </w:r>
      <w:r w:rsidR="000267BB">
        <w:t xml:space="preserve"> provsmakning eller </w:t>
      </w:r>
      <w:r w:rsidR="00C832A1">
        <w:t>utskänkningstillst</w:t>
      </w:r>
      <w:r w:rsidR="00B074A9">
        <w:t>ånd</w:t>
      </w:r>
      <w:r w:rsidR="00AE6E1E">
        <w:t xml:space="preserve"> bör ses över</w:t>
      </w:r>
      <w:r w:rsidR="000267BB">
        <w:t>,</w:t>
      </w:r>
      <w:r w:rsidR="004E48AE">
        <w:t xml:space="preserve"> då en prövning</w:t>
      </w:r>
      <w:r w:rsidR="000267BB">
        <w:t xml:space="preserve"> för</w:t>
      </w:r>
      <w:r w:rsidR="004E48AE">
        <w:t xml:space="preserve"> de tillstånden</w:t>
      </w:r>
      <w:r w:rsidR="000267BB">
        <w:t xml:space="preserve"> redan </w:t>
      </w:r>
      <w:r w:rsidR="00B074A9">
        <w:t>är genomförd.</w:t>
      </w:r>
    </w:p>
    <w:p w14:paraId="1F5D0F28" w14:textId="472654ED" w:rsidR="00175772" w:rsidRDefault="00B074A9" w:rsidP="00C832A1">
      <w:r>
        <w:t xml:space="preserve">Som en jämförelse har </w:t>
      </w:r>
      <w:r w:rsidR="000267BB">
        <w:t>Stockholm</w:t>
      </w:r>
      <w:r>
        <w:t xml:space="preserve"> en </w:t>
      </w:r>
      <w:r w:rsidR="000267BB">
        <w:t>avgift utan tidigare tillstånd</w:t>
      </w:r>
      <w:r w:rsidR="008A39A3">
        <w:t xml:space="preserve"> på</w:t>
      </w:r>
      <w:r w:rsidR="000267BB">
        <w:t xml:space="preserve"> 10 000kr,</w:t>
      </w:r>
      <w:r w:rsidR="008A39A3">
        <w:t xml:space="preserve"> men för företag med exister</w:t>
      </w:r>
      <w:r w:rsidR="00C54138">
        <w:t xml:space="preserve">ande </w:t>
      </w:r>
      <w:r w:rsidR="00740CD4">
        <w:t>tillstånd</w:t>
      </w:r>
      <w:r w:rsidR="00BA3A10">
        <w:t xml:space="preserve"> är </w:t>
      </w:r>
      <w:r w:rsidR="000267BB">
        <w:t>avgift</w:t>
      </w:r>
      <w:r w:rsidR="00BA3A10">
        <w:t>en</w:t>
      </w:r>
      <w:r w:rsidR="000267BB">
        <w:t xml:space="preserve"> </w:t>
      </w:r>
      <w:r w:rsidR="00BA3A10">
        <w:t>5</w:t>
      </w:r>
      <w:r w:rsidR="000267BB">
        <w:t>000kr</w:t>
      </w:r>
      <w:r w:rsidR="00B53A2A">
        <w:t>.</w:t>
      </w:r>
    </w:p>
    <w:p w14:paraId="3AB73106" w14:textId="003698C8" w:rsidR="0079750E" w:rsidRDefault="00175772" w:rsidP="00C832A1">
      <w:r w:rsidRPr="00175772">
        <w:t>Företagen som är aktuella att söka tillstånd för Gårdsförsäljning är normalt små företag som drivs av lust utan större ekonomisk omsättning</w:t>
      </w:r>
      <w:r w:rsidR="00C976E6">
        <w:t xml:space="preserve">, </w:t>
      </w:r>
      <w:r w:rsidR="00184CEA">
        <w:t>avgifterna i dagsläget känns med bakgrund av det, orimligt hög.</w:t>
      </w:r>
      <w:r w:rsidRPr="00175772">
        <w:t xml:space="preserve"> </w:t>
      </w:r>
    </w:p>
    <w:p w14:paraId="012A4C1D" w14:textId="0DD3A9D4" w:rsidR="001476A2" w:rsidRDefault="0087776F" w:rsidP="00FC2D1E">
      <w:pPr>
        <w:pStyle w:val="Ingetavstnd"/>
        <w:rPr>
          <w:rFonts w:ascii="Arial Black" w:eastAsiaTheme="majorEastAsia" w:hAnsi="Arial Black" w:cstheme="majorBidi"/>
          <w:b/>
          <w:color w:val="3B5776"/>
        </w:rPr>
      </w:pPr>
      <w:r w:rsidRPr="00FC2D1E">
        <w:rPr>
          <w:rFonts w:ascii="Arial Black" w:eastAsiaTheme="majorEastAsia" w:hAnsi="Arial Black" w:cstheme="majorBidi"/>
          <w:b/>
          <w:color w:val="3B5776"/>
        </w:rPr>
        <w:t>Ärendet</w:t>
      </w:r>
    </w:p>
    <w:p w14:paraId="6192892E" w14:textId="0F4356C2" w:rsidR="007C7096" w:rsidRDefault="002103CC" w:rsidP="002103CC">
      <w:r w:rsidRPr="002103CC">
        <w:t xml:space="preserve">Remissvaret ska ha kommit in till stadsledningskontoret@stadshuset.goteborg.se. senast 2026-02-27. Ange diarienummer </w:t>
      </w:r>
      <w:proofErr w:type="gramStart"/>
      <w:r w:rsidRPr="002103CC">
        <w:t>2025-01095</w:t>
      </w:r>
      <w:proofErr w:type="gramEnd"/>
      <w:r w:rsidRPr="002103CC">
        <w:t xml:space="preserve"> och remissinstansens namn i </w:t>
      </w:r>
      <w:proofErr w:type="spellStart"/>
      <w:r w:rsidRPr="002103CC">
        <w:t>ämnesraden</w:t>
      </w:r>
      <w:proofErr w:type="spellEnd"/>
      <w:r w:rsidRPr="002103CC">
        <w:t xml:space="preserve"> på e-postmeddelandet</w:t>
      </w:r>
      <w:r>
        <w:t>.</w:t>
      </w:r>
    </w:p>
    <w:p w14:paraId="381A4305" w14:textId="77777777" w:rsidR="00963BBB" w:rsidRDefault="00963BBB" w:rsidP="002103CC"/>
    <w:p w14:paraId="5DD17202" w14:textId="30CD5B2E" w:rsidR="00963BBB" w:rsidRPr="00963BBB" w:rsidRDefault="00963BBB" w:rsidP="00963BBB">
      <w:pPr>
        <w:pStyle w:val="Ingetavstnd"/>
        <w:rPr>
          <w:rFonts w:ascii="Arial Black" w:eastAsiaTheme="majorEastAsia" w:hAnsi="Arial Black" w:cstheme="majorBidi"/>
          <w:b/>
          <w:color w:val="3B5776"/>
        </w:rPr>
      </w:pPr>
      <w:r w:rsidRPr="00963BBB">
        <w:rPr>
          <w:rFonts w:ascii="Arial Black" w:eastAsiaTheme="majorEastAsia" w:hAnsi="Arial Black" w:cstheme="majorBidi"/>
          <w:b/>
          <w:color w:val="3B5776"/>
        </w:rPr>
        <w:t>Bilaga</w:t>
      </w:r>
    </w:p>
    <w:p w14:paraId="4AF7053B" w14:textId="35C371CF" w:rsidR="007C7096" w:rsidRDefault="008530E4" w:rsidP="006B6114">
      <w:r>
        <w:t>Motion av Mariah Ben Salem (L) och Eva Flyborg (L) om avgifter för gårdsförsäljning</w:t>
      </w:r>
    </w:p>
    <w:p w14:paraId="463740DF" w14:textId="0AFD713C" w:rsidR="00EA564B" w:rsidRPr="00EA564B" w:rsidRDefault="00EA564B" w:rsidP="00EA564B">
      <w:r w:rsidRPr="00EA564B">
        <w:t xml:space="preserve">Göteborg ska vara en stad som främjar </w:t>
      </w:r>
      <w:r w:rsidR="001F6E25" w:rsidRPr="00EA564B">
        <w:t>företagsamhet</w:t>
      </w:r>
      <w:r w:rsidRPr="00EA564B">
        <w:t>, lokal produktion och småskaligt entreprenörskap. Kommunen bör skapa möjligheter för näringsidkare – inte sätta upp orimliga hinder i form av höga avgifter, krångel och byråkrati. </w:t>
      </w:r>
    </w:p>
    <w:p w14:paraId="50C07B2F" w14:textId="77777777" w:rsidR="00EA564B" w:rsidRPr="00EA564B" w:rsidRDefault="00EA564B" w:rsidP="00EA564B">
      <w:r w:rsidRPr="00EA564B">
        <w:t>I dagsläget är avgiften för gårdsförsäljning i Göteborg 24 600 kronor. Det har nu lagts fram ett nytt förslag i kommunstyrelsen om att sänka avgiften till 12 000 kronor för prövningstillstånd och 7 900 kronor för årlig tillsyn. Även om detta är en sänkning, är avgiften fortfarande avsevärt högre än i många andra kommuner. </w:t>
      </w:r>
    </w:p>
    <w:p w14:paraId="0342A18E" w14:textId="77777777" w:rsidR="00EA564B" w:rsidRPr="00EA564B" w:rsidRDefault="00EA564B" w:rsidP="00EA564B">
      <w:r w:rsidRPr="00EA564B">
        <w:lastRenderedPageBreak/>
        <w:t>Som jämförelse tar Kungsbacka ut 360 kronor för motsvarande tillstånd. Skillnaden är anmärkningsvärd och fungerar i praktiken som ett hinder för lokala producenter som vill utveckla sin verksamhet. </w:t>
      </w:r>
    </w:p>
    <w:p w14:paraId="2E3C7225" w14:textId="77777777" w:rsidR="00EA564B" w:rsidRPr="00EA564B" w:rsidRDefault="00EA564B" w:rsidP="00EA564B">
      <w:r w:rsidRPr="00EA564B">
        <w:t>Konsekvenserna av Göteborgs nuvarande avgiftsnivå har redan blivit tydliga: intresset för att ansöka om tillstånd har varit mycket lågt, och enligt tillgängliga uppgifter har nästan inga näringsidkare hittills ansökt i Göteborg. Detta står i kontrast till kommuner med lägre avgifter, där fler aktörer har valt att ta steget. Höga avgifter riskerar därför att hämma besöksnäring, lokalt företagande och utvecklingen av nya initiativ. </w:t>
      </w:r>
    </w:p>
    <w:p w14:paraId="5FF3B9B4" w14:textId="77777777" w:rsidR="00EA564B" w:rsidRPr="00EA564B" w:rsidRDefault="00EA564B" w:rsidP="00EA564B">
      <w:r w:rsidRPr="00EA564B">
        <w:t>För att Göteborg ska vara en attraktiv stad för entreprenörer behöver avgifterna för gårdsförsäljning kraftigt sänkas. Kommunen bör dessutom sträva efter att alltid ligga på en nivå som gör det möjligt för fler att delta, och därmed bidra till ett livskraftigt näringsliv. </w:t>
      </w:r>
    </w:p>
    <w:p w14:paraId="24280B14" w14:textId="77777777" w:rsidR="00EA564B" w:rsidRPr="00EA564B" w:rsidRDefault="00EA564B" w:rsidP="00EA564B">
      <w:r w:rsidRPr="00EA564B">
        <w:t>Förslag till beslut i kommunfullmäktige: </w:t>
      </w:r>
    </w:p>
    <w:p w14:paraId="2F3DCC31" w14:textId="77777777" w:rsidR="00EA564B" w:rsidRPr="00EA564B" w:rsidRDefault="00EA564B" w:rsidP="00EA564B">
      <w:pPr>
        <w:numPr>
          <w:ilvl w:val="0"/>
          <w:numId w:val="9"/>
        </w:numPr>
      </w:pPr>
      <w:r w:rsidRPr="00EA564B">
        <w:t>Avgiften för prövning av </w:t>
      </w:r>
      <w:hyperlink r:id="rId13" w:tgtFrame="_blank" w:history="1">
        <w:r w:rsidRPr="00EA564B">
          <w:t>gårdsförsäljningstillstånd i Göteborg</w:t>
        </w:r>
      </w:hyperlink>
      <w:r w:rsidRPr="00EA564B">
        <w:t> sätts till 0 kronor. </w:t>
      </w:r>
    </w:p>
    <w:p w14:paraId="70CF4A0A" w14:textId="77777777" w:rsidR="00EA564B" w:rsidRPr="00EA564B" w:rsidRDefault="00EA564B" w:rsidP="00EA564B">
      <w:pPr>
        <w:numPr>
          <w:ilvl w:val="0"/>
          <w:numId w:val="10"/>
        </w:numPr>
      </w:pPr>
      <w:r w:rsidRPr="00EA564B">
        <w:t>Den årliga tillsynsavgiften för gårdsförsäljning i Göteborg sätts till 2 000 kronor. </w:t>
      </w:r>
    </w:p>
    <w:p w14:paraId="5B586475" w14:textId="77777777" w:rsidR="00EA564B" w:rsidRPr="00EA564B" w:rsidRDefault="00EA564B" w:rsidP="00EA564B">
      <w:r w:rsidRPr="00EA564B">
        <w:t>Av </w:t>
      </w:r>
      <w:hyperlink r:id="rId14" w:tgtFrame="_blank" w:history="1">
        <w:r w:rsidRPr="00EA564B">
          <w:t>Mariah ben Salem Dynehäll (L)</w:t>
        </w:r>
      </w:hyperlink>
      <w:r w:rsidRPr="00EA564B">
        <w:t>, </w:t>
      </w:r>
      <w:hyperlink r:id="rId15" w:tgtFrame="_blank" w:history="1">
        <w:r w:rsidRPr="00EA564B">
          <w:t>Eva Flyborg (L)</w:t>
        </w:r>
      </w:hyperlink>
    </w:p>
    <w:p w14:paraId="1863D8DF" w14:textId="77777777" w:rsidR="00EA564B" w:rsidRDefault="00EA564B" w:rsidP="006B6114"/>
    <w:p w14:paraId="670A3997" w14:textId="77777777" w:rsidR="000630B1" w:rsidRDefault="000630B1" w:rsidP="000630B1"/>
    <w:p w14:paraId="367BE33E" w14:textId="77777777" w:rsidR="000630B1" w:rsidRDefault="000630B1" w:rsidP="000630B1">
      <w:pPr>
        <w:rPr>
          <w:rFonts w:ascii="Palatino Linotype" w:hAnsi="Palatino Linotype"/>
          <w:sz w:val="24"/>
        </w:rPr>
      </w:pPr>
    </w:p>
    <w:p w14:paraId="73B20195" w14:textId="77777777" w:rsidR="00CC7D3C" w:rsidRPr="007E6582" w:rsidRDefault="00CC7D3C" w:rsidP="000046E1">
      <w:r w:rsidRPr="007E6582">
        <w:t>Patrik Andersson</w:t>
      </w:r>
    </w:p>
    <w:p w14:paraId="16C44624" w14:textId="48786A72" w:rsidR="007CAFAE" w:rsidRPr="007E6582" w:rsidRDefault="007CAFAE" w:rsidP="007CAFAE"/>
    <w:p w14:paraId="0EF3AF3D" w14:textId="77777777" w:rsidR="00CC7D3C" w:rsidRPr="007E6582" w:rsidRDefault="00CC7D3C" w:rsidP="000046E1">
      <w:r w:rsidRPr="007E6582">
        <w:t>Vd, Business Region Göteborg AB</w:t>
      </w:r>
    </w:p>
    <w:sectPr w:rsidR="00CC7D3C" w:rsidRPr="007E6582" w:rsidSect="0008412D">
      <w:headerReference w:type="default" r:id="rId16"/>
      <w:footerReference w:type="default" r:id="rId17"/>
      <w:headerReference w:type="first" r:id="rId18"/>
      <w:footerReference w:type="first" r:id="rId19"/>
      <w:pgSz w:w="11906" w:h="16838" w:code="9"/>
      <w:pgMar w:top="1170" w:right="2125" w:bottom="90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93833" w14:textId="77777777" w:rsidR="0008412D" w:rsidRDefault="0008412D" w:rsidP="00BF282B">
      <w:pPr>
        <w:spacing w:after="0" w:line="240" w:lineRule="auto"/>
      </w:pPr>
      <w:r>
        <w:separator/>
      </w:r>
    </w:p>
  </w:endnote>
  <w:endnote w:type="continuationSeparator" w:id="0">
    <w:p w14:paraId="7DA7D98C" w14:textId="77777777" w:rsidR="0008412D" w:rsidRDefault="0008412D" w:rsidP="00BF282B">
      <w:pPr>
        <w:spacing w:after="0" w:line="240" w:lineRule="auto"/>
      </w:pPr>
      <w:r>
        <w:continuationSeparator/>
      </w:r>
    </w:p>
  </w:endnote>
  <w:endnote w:type="continuationNotice" w:id="1">
    <w:p w14:paraId="7C688A67" w14:textId="77777777" w:rsidR="0008412D" w:rsidRDefault="000841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margin"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38"/>
      <w:gridCol w:w="3817"/>
      <w:gridCol w:w="1917"/>
    </w:tblGrid>
    <w:tr w:rsidR="00E92E25" w:rsidRPr="009B4E2A" w14:paraId="74F86BE4" w14:textId="77777777" w:rsidTr="00EA4A38">
      <w:tc>
        <w:tcPr>
          <w:tcW w:w="7155" w:type="dxa"/>
          <w:gridSpan w:val="2"/>
          <w:tcBorders>
            <w:top w:val="nil"/>
          </w:tcBorders>
        </w:tcPr>
        <w:p w14:paraId="14AC00C5" w14:textId="77777777" w:rsidR="00E92E25" w:rsidRPr="00EA4A38" w:rsidRDefault="00B4215B" w:rsidP="00EA4A38">
          <w:pPr>
            <w:pStyle w:val="Sidfot"/>
            <w:rPr>
              <w:b/>
              <w:bCs/>
              <w:color w:val="3B5776"/>
              <w:sz w:val="14"/>
              <w:szCs w:val="20"/>
            </w:rPr>
          </w:pPr>
          <w:r w:rsidRPr="00EA4A38">
            <w:rPr>
              <w:b/>
              <w:bCs/>
              <w:color w:val="3B5776"/>
              <w:sz w:val="14"/>
              <w:szCs w:val="20"/>
            </w:rPr>
            <w:t xml:space="preserve"> </w:t>
          </w:r>
          <w:r w:rsidR="00CC7D3C">
            <w:rPr>
              <w:b/>
              <w:bCs/>
              <w:color w:val="3B5776"/>
              <w:sz w:val="14"/>
              <w:szCs w:val="20"/>
            </w:rPr>
            <w:t xml:space="preserve">Beslutsunderlag </w:t>
          </w:r>
        </w:p>
      </w:tc>
      <w:tc>
        <w:tcPr>
          <w:tcW w:w="1917" w:type="dxa"/>
          <w:tcBorders>
            <w:top w:val="nil"/>
          </w:tcBorders>
        </w:tcPr>
        <w:p w14:paraId="25A6397E" w14:textId="77777777" w:rsidR="00E92E25" w:rsidRPr="009B4E2A" w:rsidRDefault="00E92E25" w:rsidP="00EA4A38">
          <w:pPr>
            <w:pStyle w:val="Sidfot"/>
            <w:jc w:val="right"/>
          </w:pPr>
        </w:p>
      </w:tc>
    </w:tr>
    <w:tr w:rsidR="00F66187" w14:paraId="7B4BB363" w14:textId="77777777" w:rsidTr="00EA4A38">
      <w:tc>
        <w:tcPr>
          <w:tcW w:w="3338" w:type="dxa"/>
          <w:tcBorders>
            <w:top w:val="nil"/>
          </w:tcBorders>
        </w:tcPr>
        <w:p w14:paraId="794FF0DA" w14:textId="77777777" w:rsidR="00F66187" w:rsidRPr="00F66187" w:rsidRDefault="00F66187" w:rsidP="00EA4A38">
          <w:pPr>
            <w:pStyle w:val="Sidfot"/>
            <w:rPr>
              <w:rStyle w:val="Platshllartext"/>
              <w:color w:val="auto"/>
            </w:rPr>
          </w:pPr>
        </w:p>
      </w:tc>
      <w:tc>
        <w:tcPr>
          <w:tcW w:w="3817" w:type="dxa"/>
          <w:tcBorders>
            <w:top w:val="nil"/>
          </w:tcBorders>
        </w:tcPr>
        <w:p w14:paraId="0AD7D21C" w14:textId="77777777" w:rsidR="00F66187" w:rsidRDefault="00F66187" w:rsidP="00EA4A38">
          <w:pPr>
            <w:pStyle w:val="Sidfot"/>
          </w:pPr>
        </w:p>
      </w:tc>
      <w:tc>
        <w:tcPr>
          <w:tcW w:w="1917" w:type="dxa"/>
          <w:tcBorders>
            <w:top w:val="nil"/>
          </w:tcBorders>
        </w:tcPr>
        <w:p w14:paraId="14A439D7" w14:textId="77777777" w:rsidR="00F66187" w:rsidRDefault="00F66187" w:rsidP="00EA4A38">
          <w:pPr>
            <w:pStyle w:val="Sidfot"/>
            <w:jc w:val="right"/>
          </w:pPr>
        </w:p>
      </w:tc>
    </w:tr>
    <w:tr w:rsidR="00F66187" w14:paraId="79C7EED9" w14:textId="77777777" w:rsidTr="00EA4A38">
      <w:tc>
        <w:tcPr>
          <w:tcW w:w="3338" w:type="dxa"/>
          <w:tcBorders>
            <w:top w:val="nil"/>
          </w:tcBorders>
        </w:tcPr>
        <w:p w14:paraId="222DC558" w14:textId="77777777" w:rsidR="00F66187" w:rsidRDefault="00F66187" w:rsidP="00EA4A38">
          <w:pPr>
            <w:pStyle w:val="Sidfot"/>
          </w:pPr>
        </w:p>
      </w:tc>
      <w:tc>
        <w:tcPr>
          <w:tcW w:w="3817" w:type="dxa"/>
          <w:tcBorders>
            <w:top w:val="nil"/>
          </w:tcBorders>
        </w:tcPr>
        <w:p w14:paraId="50F8757E" w14:textId="77777777" w:rsidR="00F66187" w:rsidRDefault="00F66187" w:rsidP="00EA4A38">
          <w:pPr>
            <w:pStyle w:val="Sidfot"/>
          </w:pPr>
        </w:p>
      </w:tc>
      <w:tc>
        <w:tcPr>
          <w:tcW w:w="1917" w:type="dxa"/>
        </w:tcPr>
        <w:p w14:paraId="66C04946" w14:textId="77777777" w:rsidR="00F66187" w:rsidRDefault="00F66187" w:rsidP="00EA4A38">
          <w:pPr>
            <w:pStyle w:val="Sidfot"/>
            <w:jc w:val="right"/>
          </w:pPr>
        </w:p>
      </w:tc>
    </w:tr>
  </w:tbl>
  <w:p w14:paraId="0622F4AB" w14:textId="77777777" w:rsidR="00F57801" w:rsidRPr="00F66187" w:rsidRDefault="005A3472">
    <w:pPr>
      <w:pStyle w:val="Sidfot"/>
      <w:rPr>
        <w:sz w:val="2"/>
        <w:szCs w:val="2"/>
      </w:rPr>
    </w:pPr>
    <w:r>
      <w:rPr>
        <w:noProof/>
      </w:rPr>
      <w:drawing>
        <wp:anchor distT="0" distB="0" distL="114300" distR="114300" simplePos="0" relativeHeight="251658241" behindDoc="0" locked="0" layoutInCell="1" allowOverlap="1" wp14:anchorId="3647EB28" wp14:editId="0015367A">
          <wp:simplePos x="0" y="0"/>
          <wp:positionH relativeFrom="column">
            <wp:posOffset>4514850</wp:posOffset>
          </wp:positionH>
          <wp:positionV relativeFrom="bottomMargin">
            <wp:posOffset>-169545</wp:posOffset>
          </wp:positionV>
          <wp:extent cx="1056640" cy="678180"/>
          <wp:effectExtent l="0" t="0" r="0" b="7620"/>
          <wp:wrapNone/>
          <wp:docPr id="514123391"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4C250720" w14:textId="77777777" w:rsidTr="00F74766">
      <w:tc>
        <w:tcPr>
          <w:tcW w:w="7118" w:type="dxa"/>
          <w:gridSpan w:val="2"/>
          <w:tcBorders>
            <w:top w:val="nil"/>
          </w:tcBorders>
        </w:tcPr>
        <w:p w14:paraId="28847007" w14:textId="77777777" w:rsidR="00F74766" w:rsidRPr="00F74766" w:rsidRDefault="004B7EE0" w:rsidP="00F74766">
          <w:pPr>
            <w:spacing w:after="60"/>
            <w:rPr>
              <w:rFonts w:ascii="Arial" w:eastAsia="Palatino Linotype" w:hAnsi="Arial" w:cs="Arial"/>
              <w:sz w:val="14"/>
              <w:szCs w:val="22"/>
            </w:rPr>
          </w:pPr>
          <w:sdt>
            <w:sdtPr>
              <w:rPr>
                <w:rFonts w:ascii="Arial" w:eastAsia="Palatino Linotype" w:hAnsi="Arial" w:cs="Arial"/>
                <w:b/>
                <w:caps/>
                <w:color w:val="3B5776"/>
                <w:sz w:val="14"/>
                <w:szCs w:val="22"/>
              </w:rPr>
              <w:alias w:val="Titel"/>
              <w:tag w:val=""/>
              <w:id w:val="-1330049194"/>
              <w:dataBinding w:prefixMappings="xmlns:ns0='http://purl.org/dc/elements/1.1/' xmlns:ns1='http://schemas.openxmlformats.org/package/2006/metadata/core-properties' " w:xpath="/ns1:coreProperties[1]/ns0:title[1]" w:storeItemID="{6C3C8BC8-F283-45AE-878A-BAB7291924A1}"/>
              <w:text/>
            </w:sdtPr>
            <w:sdtEndPr/>
            <w:sdtContent>
              <w:r w:rsidR="007E6C0F">
                <w:rPr>
                  <w:rFonts w:ascii="Arial" w:eastAsia="Palatino Linotype" w:hAnsi="Arial" w:cs="Arial"/>
                  <w:b/>
                  <w:caps/>
                  <w:color w:val="3B5776"/>
                  <w:sz w:val="14"/>
                  <w:szCs w:val="22"/>
                </w:rPr>
                <w:t>BUSINESS REGION GÖTEBORG AB</w:t>
              </w:r>
            </w:sdtContent>
          </w:sdt>
          <w:r w:rsidR="00F74766" w:rsidRPr="00F74766">
            <w:rPr>
              <w:rFonts w:ascii="Arial" w:eastAsia="Palatino Linotype" w:hAnsi="Arial" w:cs="Arial"/>
              <w:b/>
              <w:caps/>
              <w:color w:val="3B5776"/>
              <w:sz w:val="14"/>
              <w:szCs w:val="22"/>
            </w:rPr>
            <w:t xml:space="preserve"> </w:t>
          </w:r>
          <w:r w:rsidR="00B4215B">
            <w:rPr>
              <w:rFonts w:ascii="Arial" w:eastAsia="Palatino Linotype" w:hAnsi="Arial" w:cs="Arial"/>
              <w:b/>
              <w:caps/>
              <w:color w:val="3B5776"/>
              <w:sz w:val="14"/>
              <w:szCs w:val="22"/>
            </w:rPr>
            <w:br/>
          </w:r>
          <w:r w:rsidR="00F74766" w:rsidRPr="00F74766">
            <w:rPr>
              <w:rFonts w:ascii="Arial" w:eastAsia="Palatino Linotype" w:hAnsi="Arial" w:cs="Arial"/>
              <w:sz w:val="14"/>
              <w:szCs w:val="22"/>
            </w:rPr>
            <w:t>Besöksadress: Östra Hamngatan 5, Postadress: Box 11119, 404 23 Göteborg</w:t>
          </w:r>
          <w:r w:rsidR="00F74766" w:rsidRPr="00F74766">
            <w:rPr>
              <w:rFonts w:ascii="Arial" w:eastAsia="Palatino Linotype" w:hAnsi="Arial" w:cs="Arial"/>
              <w:sz w:val="14"/>
              <w:szCs w:val="22"/>
            </w:rPr>
            <w:br/>
          </w:r>
          <w:proofErr w:type="gramStart"/>
          <w:r w:rsidR="00F74766" w:rsidRPr="00F74766">
            <w:rPr>
              <w:rFonts w:ascii="Arial" w:eastAsia="Palatino Linotype" w:hAnsi="Arial" w:cs="Arial"/>
              <w:sz w:val="14"/>
              <w:szCs w:val="22"/>
            </w:rPr>
            <w:t>Telefon växel</w:t>
          </w:r>
          <w:proofErr w:type="gramEnd"/>
          <w:r w:rsidR="00F74766" w:rsidRPr="00F74766">
            <w:rPr>
              <w:rFonts w:ascii="Arial" w:eastAsia="Palatino Linotype" w:hAnsi="Arial" w:cs="Arial"/>
              <w:sz w:val="14"/>
              <w:szCs w:val="22"/>
            </w:rPr>
            <w:t>: 031-367 61 00, www.businessregiongoteborg.se</w:t>
          </w:r>
        </w:p>
        <w:p w14:paraId="7BCA94CE" w14:textId="77777777" w:rsidR="00F74766" w:rsidRPr="00F74766" w:rsidRDefault="00F74766" w:rsidP="00F74766">
          <w:pPr>
            <w:spacing w:line="259" w:lineRule="auto"/>
            <w:rPr>
              <w:rFonts w:ascii="Arial" w:eastAsia="Palatino Linotype" w:hAnsi="Arial" w:cs="Arial"/>
              <w:sz w:val="14"/>
              <w:szCs w:val="22"/>
            </w:rPr>
          </w:pPr>
          <w:r w:rsidRPr="00F74766">
            <w:rPr>
              <w:rFonts w:ascii="Arial" w:eastAsia="Palatino Linotype" w:hAnsi="Arial" w:cs="Arial"/>
              <w:sz w:val="14"/>
              <w:szCs w:val="22"/>
            </w:rPr>
            <w:t>BUSINESS REGION GÖTEBORG – EN DEL AV GÖTEBORGS STAD I SAMARBETE MED REGIONEN</w:t>
          </w:r>
        </w:p>
        <w:p w14:paraId="25BBA1FE" w14:textId="77777777" w:rsidR="00FB3384" w:rsidRPr="009B4E2A" w:rsidRDefault="00FB3384" w:rsidP="00BD0663">
          <w:pPr>
            <w:pStyle w:val="Sidfot"/>
          </w:pPr>
        </w:p>
      </w:tc>
      <w:tc>
        <w:tcPr>
          <w:tcW w:w="1954" w:type="dxa"/>
          <w:tcBorders>
            <w:top w:val="nil"/>
          </w:tcBorders>
        </w:tcPr>
        <w:p w14:paraId="2A424A31" w14:textId="77777777" w:rsidR="00FB3384" w:rsidRPr="009B4E2A" w:rsidRDefault="00B4215B" w:rsidP="00BD0663">
          <w:pPr>
            <w:pStyle w:val="Sidfot"/>
            <w:jc w:val="right"/>
          </w:pPr>
          <w:r>
            <w:rPr>
              <w:noProof/>
            </w:rPr>
            <w:drawing>
              <wp:anchor distT="0" distB="0" distL="114300" distR="114300" simplePos="0" relativeHeight="251658240" behindDoc="0" locked="0" layoutInCell="1" allowOverlap="1" wp14:anchorId="48D78ABC" wp14:editId="0FF232C8">
                <wp:simplePos x="0" y="0"/>
                <wp:positionH relativeFrom="column">
                  <wp:posOffset>4445</wp:posOffset>
                </wp:positionH>
                <wp:positionV relativeFrom="bottomMargin">
                  <wp:posOffset>6350</wp:posOffset>
                </wp:positionV>
                <wp:extent cx="1056640" cy="678180"/>
                <wp:effectExtent l="0" t="0" r="0" b="7620"/>
                <wp:wrapNone/>
                <wp:docPr id="131801702" name="Bild 3" descr="M:\M&amp;K - Projekt\BRG\Grafiska element och standardtexter\2013\BRG logotyp originalfil\LOGO\businessregion_blue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amp;K - Projekt\BRG\Grafiska element och standardtexter\2013\BRG logotyp originalfil\LOGO\businessregion_blue_CMY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6640" cy="6781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B3384" w14:paraId="0913D4F8" w14:textId="77777777" w:rsidTr="00F74766">
      <w:tc>
        <w:tcPr>
          <w:tcW w:w="3319" w:type="dxa"/>
          <w:tcBorders>
            <w:top w:val="nil"/>
          </w:tcBorders>
        </w:tcPr>
        <w:p w14:paraId="438F41D9" w14:textId="77777777" w:rsidR="00FB3384" w:rsidRPr="00F66187" w:rsidRDefault="00FB3384" w:rsidP="00BD0663">
          <w:pPr>
            <w:pStyle w:val="Sidfot"/>
            <w:rPr>
              <w:rStyle w:val="Platshllartext"/>
              <w:color w:val="auto"/>
            </w:rPr>
          </w:pPr>
        </w:p>
      </w:tc>
      <w:tc>
        <w:tcPr>
          <w:tcW w:w="3799" w:type="dxa"/>
          <w:tcBorders>
            <w:top w:val="nil"/>
          </w:tcBorders>
        </w:tcPr>
        <w:p w14:paraId="69DDF8E5" w14:textId="77777777" w:rsidR="00FB3384" w:rsidRDefault="00FB3384" w:rsidP="00BD0663">
          <w:pPr>
            <w:pStyle w:val="Sidfot"/>
          </w:pPr>
        </w:p>
      </w:tc>
      <w:tc>
        <w:tcPr>
          <w:tcW w:w="1954" w:type="dxa"/>
          <w:vMerge w:val="restart"/>
          <w:tcBorders>
            <w:top w:val="nil"/>
          </w:tcBorders>
          <w:vAlign w:val="bottom"/>
        </w:tcPr>
        <w:p w14:paraId="03A26BF2" w14:textId="77777777" w:rsidR="00FB3384" w:rsidRDefault="00FB3384" w:rsidP="00FB3384">
          <w:pPr>
            <w:pStyle w:val="Sidfot"/>
            <w:jc w:val="right"/>
          </w:pPr>
        </w:p>
      </w:tc>
    </w:tr>
    <w:tr w:rsidR="00FB3384" w14:paraId="65589653" w14:textId="77777777" w:rsidTr="4D534CDD">
      <w:tc>
        <w:tcPr>
          <w:tcW w:w="3319" w:type="dxa"/>
          <w:tcBorders>
            <w:top w:val="nil"/>
          </w:tcBorders>
        </w:tcPr>
        <w:p w14:paraId="58DDEE75" w14:textId="77777777" w:rsidR="00FB3384" w:rsidRDefault="00FB3384" w:rsidP="00BD0663">
          <w:pPr>
            <w:pStyle w:val="Sidfot"/>
          </w:pPr>
        </w:p>
      </w:tc>
      <w:tc>
        <w:tcPr>
          <w:tcW w:w="3799" w:type="dxa"/>
          <w:tcBorders>
            <w:top w:val="nil"/>
          </w:tcBorders>
        </w:tcPr>
        <w:p w14:paraId="5511D977" w14:textId="77777777" w:rsidR="00FB3384" w:rsidRDefault="00FB3384" w:rsidP="00BD0663">
          <w:pPr>
            <w:pStyle w:val="Sidfot"/>
          </w:pPr>
        </w:p>
      </w:tc>
      <w:tc>
        <w:tcPr>
          <w:tcW w:w="1954" w:type="dxa"/>
          <w:vMerge/>
        </w:tcPr>
        <w:p w14:paraId="28D097B4" w14:textId="77777777" w:rsidR="00FB3384" w:rsidRDefault="00FB3384" w:rsidP="00BD0663">
          <w:pPr>
            <w:pStyle w:val="Sidfot"/>
            <w:jc w:val="right"/>
          </w:pPr>
        </w:p>
      </w:tc>
    </w:tr>
  </w:tbl>
  <w:p w14:paraId="128BE85D" w14:textId="77777777" w:rsidR="00BD0663" w:rsidRDefault="00E45A27" w:rsidP="00E45A27">
    <w:pPr>
      <w:pStyle w:val="Sidfot"/>
      <w:tabs>
        <w:tab w:val="clear" w:pos="4513"/>
        <w:tab w:val="clear" w:pos="9026"/>
        <w:tab w:val="left" w:pos="4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AB8F8" w14:textId="77777777" w:rsidR="0008412D" w:rsidRDefault="0008412D" w:rsidP="00BF282B">
      <w:pPr>
        <w:spacing w:after="0" w:line="240" w:lineRule="auto"/>
      </w:pPr>
      <w:r>
        <w:separator/>
      </w:r>
    </w:p>
  </w:footnote>
  <w:footnote w:type="continuationSeparator" w:id="0">
    <w:p w14:paraId="7234A79C" w14:textId="77777777" w:rsidR="0008412D" w:rsidRDefault="0008412D" w:rsidP="00BF282B">
      <w:pPr>
        <w:spacing w:after="0" w:line="240" w:lineRule="auto"/>
      </w:pPr>
      <w:r>
        <w:continuationSeparator/>
      </w:r>
    </w:p>
  </w:footnote>
  <w:footnote w:type="continuationNotice" w:id="1">
    <w:p w14:paraId="7D95ACBE" w14:textId="77777777" w:rsidR="0008412D" w:rsidRDefault="000841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42304"/>
      <w:docPartObj>
        <w:docPartGallery w:val="Page Numbers (Top of Page)"/>
        <w:docPartUnique/>
      </w:docPartObj>
    </w:sdtPr>
    <w:sdtEndPr>
      <w:rPr>
        <w:sz w:val="18"/>
        <w:szCs w:val="18"/>
      </w:rPr>
    </w:sdtEndPr>
    <w:sdtContent>
      <w:p w14:paraId="771B56EB" w14:textId="77777777" w:rsidR="00E45A27" w:rsidRPr="00E45A27" w:rsidRDefault="00E45A27">
        <w:pPr>
          <w:pStyle w:val="Sidhuvud"/>
          <w:jc w:val="right"/>
          <w:rPr>
            <w:sz w:val="18"/>
            <w:szCs w:val="18"/>
          </w:rPr>
        </w:pPr>
        <w:r w:rsidRPr="00E45A27">
          <w:rPr>
            <w:sz w:val="18"/>
            <w:szCs w:val="18"/>
          </w:rPr>
          <w:t xml:space="preserve">Sida </w:t>
        </w:r>
        <w:r w:rsidRPr="00E45A27">
          <w:rPr>
            <w:sz w:val="18"/>
            <w:szCs w:val="18"/>
          </w:rPr>
          <w:fldChar w:fldCharType="begin"/>
        </w:r>
        <w:r w:rsidRPr="00E45A27">
          <w:rPr>
            <w:sz w:val="18"/>
            <w:szCs w:val="18"/>
          </w:rPr>
          <w:instrText>PAGE</w:instrText>
        </w:r>
        <w:r w:rsidRPr="00E45A27">
          <w:rPr>
            <w:sz w:val="18"/>
            <w:szCs w:val="18"/>
          </w:rPr>
          <w:fldChar w:fldCharType="separate"/>
        </w:r>
        <w:r w:rsidRPr="00E45A27">
          <w:rPr>
            <w:sz w:val="18"/>
            <w:szCs w:val="18"/>
          </w:rPr>
          <w:t>2</w:t>
        </w:r>
        <w:r w:rsidRPr="00E45A27">
          <w:rPr>
            <w:sz w:val="18"/>
            <w:szCs w:val="18"/>
          </w:rPr>
          <w:fldChar w:fldCharType="end"/>
        </w:r>
        <w:r w:rsidRPr="00E45A27">
          <w:rPr>
            <w:sz w:val="18"/>
            <w:szCs w:val="18"/>
          </w:rPr>
          <w:t xml:space="preserve"> av </w:t>
        </w:r>
        <w:r w:rsidRPr="00E45A27">
          <w:rPr>
            <w:sz w:val="18"/>
            <w:szCs w:val="18"/>
          </w:rPr>
          <w:fldChar w:fldCharType="begin"/>
        </w:r>
        <w:r w:rsidRPr="00E45A27">
          <w:rPr>
            <w:sz w:val="18"/>
            <w:szCs w:val="18"/>
          </w:rPr>
          <w:instrText>NUMPAGES</w:instrText>
        </w:r>
        <w:r w:rsidRPr="00E45A27">
          <w:rPr>
            <w:sz w:val="18"/>
            <w:szCs w:val="18"/>
          </w:rPr>
          <w:fldChar w:fldCharType="separate"/>
        </w:r>
        <w:r w:rsidRPr="00E45A27">
          <w:rPr>
            <w:sz w:val="18"/>
            <w:szCs w:val="18"/>
          </w:rPr>
          <w:t>2</w:t>
        </w:r>
        <w:r w:rsidRPr="00E45A27">
          <w:rPr>
            <w:sz w:val="18"/>
            <w:szCs w:val="18"/>
          </w:rPr>
          <w:fldChar w:fldCharType="end"/>
        </w:r>
      </w:p>
    </w:sdtContent>
  </w:sdt>
  <w:p w14:paraId="6EE26FBA" w14:textId="77777777" w:rsidR="00B4215B" w:rsidRDefault="00B4215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ajorHAnsi"/>
        <w:sz w:val="18"/>
        <w:szCs w:val="18"/>
      </w:rPr>
      <w:id w:val="-1318336367"/>
      <w:docPartObj>
        <w:docPartGallery w:val="Page Numbers (Top of Page)"/>
        <w:docPartUnique/>
      </w:docPartObj>
    </w:sdtPr>
    <w:sdtEndPr>
      <w:rPr>
        <w:rFonts w:cstheme="minorBidi"/>
        <w:sz w:val="22"/>
        <w:szCs w:val="24"/>
      </w:rPr>
    </w:sdtEndPr>
    <w:sdtContent>
      <w:p w14:paraId="55FCE2F9" w14:textId="77777777" w:rsidR="00E45A27" w:rsidRDefault="00E45A27">
        <w:pPr>
          <w:pStyle w:val="Sidhuvud"/>
          <w:jc w:val="right"/>
        </w:pPr>
        <w:r w:rsidRPr="00E45A27">
          <w:rPr>
            <w:rFonts w:cstheme="majorHAnsi"/>
            <w:sz w:val="18"/>
            <w:szCs w:val="18"/>
          </w:rPr>
          <w:t xml:space="preserve">Sida </w:t>
        </w:r>
        <w:r w:rsidRPr="00E45A27">
          <w:rPr>
            <w:rFonts w:cstheme="majorHAnsi"/>
            <w:sz w:val="18"/>
            <w:szCs w:val="18"/>
          </w:rPr>
          <w:fldChar w:fldCharType="begin"/>
        </w:r>
        <w:r w:rsidRPr="00E45A27">
          <w:rPr>
            <w:rFonts w:cstheme="majorHAnsi"/>
            <w:sz w:val="18"/>
            <w:szCs w:val="18"/>
          </w:rPr>
          <w:instrText>PAGE</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r w:rsidRPr="00E45A27">
          <w:rPr>
            <w:rFonts w:cstheme="majorHAnsi"/>
            <w:sz w:val="18"/>
            <w:szCs w:val="18"/>
          </w:rPr>
          <w:t xml:space="preserve"> av </w:t>
        </w:r>
        <w:r w:rsidRPr="00E45A27">
          <w:rPr>
            <w:rFonts w:cstheme="majorHAnsi"/>
            <w:sz w:val="18"/>
            <w:szCs w:val="18"/>
          </w:rPr>
          <w:fldChar w:fldCharType="begin"/>
        </w:r>
        <w:r w:rsidRPr="00E45A27">
          <w:rPr>
            <w:rFonts w:cstheme="majorHAnsi"/>
            <w:sz w:val="18"/>
            <w:szCs w:val="18"/>
          </w:rPr>
          <w:instrText>NUMPAGES</w:instrText>
        </w:r>
        <w:r w:rsidRPr="00E45A27">
          <w:rPr>
            <w:rFonts w:cstheme="majorHAnsi"/>
            <w:sz w:val="18"/>
            <w:szCs w:val="18"/>
          </w:rPr>
          <w:fldChar w:fldCharType="separate"/>
        </w:r>
        <w:r w:rsidRPr="00E45A27">
          <w:rPr>
            <w:rFonts w:cstheme="majorHAnsi"/>
            <w:sz w:val="18"/>
            <w:szCs w:val="18"/>
          </w:rPr>
          <w:t>2</w:t>
        </w:r>
        <w:r w:rsidRPr="00E45A27">
          <w:rPr>
            <w:rFonts w:cstheme="majorHAnsi"/>
            <w:sz w:val="18"/>
            <w:szCs w:val="18"/>
          </w:rPr>
          <w:fldChar w:fldCharType="end"/>
        </w:r>
      </w:p>
    </w:sdtContent>
  </w:sdt>
  <w:p w14:paraId="619C5D52" w14:textId="77777777" w:rsidR="00F74766" w:rsidRDefault="00F747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C3D26"/>
    <w:multiLevelType w:val="multilevel"/>
    <w:tmpl w:val="2D8EE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 w15:restartNumberingAfterBreak="0">
    <w:nsid w:val="369D65E6"/>
    <w:multiLevelType w:val="multilevel"/>
    <w:tmpl w:val="0BA40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D06968"/>
    <w:multiLevelType w:val="hybridMultilevel"/>
    <w:tmpl w:val="EDBE34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AE03A16"/>
    <w:multiLevelType w:val="hybridMultilevel"/>
    <w:tmpl w:val="1A462FD2"/>
    <w:lvl w:ilvl="0" w:tplc="041D000F">
      <w:start w:val="1"/>
      <w:numFmt w:val="decimal"/>
      <w:lvlText w:val="%1."/>
      <w:lvlJc w:val="left"/>
      <w:pPr>
        <w:ind w:left="6" w:hanging="360"/>
      </w:pPr>
    </w:lvl>
    <w:lvl w:ilvl="1" w:tplc="041D0019" w:tentative="1">
      <w:start w:val="1"/>
      <w:numFmt w:val="lowerLetter"/>
      <w:lvlText w:val="%2."/>
      <w:lvlJc w:val="left"/>
      <w:pPr>
        <w:ind w:left="726" w:hanging="360"/>
      </w:pPr>
    </w:lvl>
    <w:lvl w:ilvl="2" w:tplc="041D001B" w:tentative="1">
      <w:start w:val="1"/>
      <w:numFmt w:val="lowerRoman"/>
      <w:lvlText w:val="%3."/>
      <w:lvlJc w:val="right"/>
      <w:pPr>
        <w:ind w:left="1446" w:hanging="180"/>
      </w:pPr>
    </w:lvl>
    <w:lvl w:ilvl="3" w:tplc="041D000F" w:tentative="1">
      <w:start w:val="1"/>
      <w:numFmt w:val="decimal"/>
      <w:lvlText w:val="%4."/>
      <w:lvlJc w:val="left"/>
      <w:pPr>
        <w:ind w:left="2166" w:hanging="360"/>
      </w:pPr>
    </w:lvl>
    <w:lvl w:ilvl="4" w:tplc="041D0019" w:tentative="1">
      <w:start w:val="1"/>
      <w:numFmt w:val="lowerLetter"/>
      <w:lvlText w:val="%5."/>
      <w:lvlJc w:val="left"/>
      <w:pPr>
        <w:ind w:left="2886" w:hanging="360"/>
      </w:pPr>
    </w:lvl>
    <w:lvl w:ilvl="5" w:tplc="041D001B" w:tentative="1">
      <w:start w:val="1"/>
      <w:numFmt w:val="lowerRoman"/>
      <w:lvlText w:val="%6."/>
      <w:lvlJc w:val="right"/>
      <w:pPr>
        <w:ind w:left="3606" w:hanging="180"/>
      </w:pPr>
    </w:lvl>
    <w:lvl w:ilvl="6" w:tplc="041D000F" w:tentative="1">
      <w:start w:val="1"/>
      <w:numFmt w:val="decimal"/>
      <w:lvlText w:val="%7."/>
      <w:lvlJc w:val="left"/>
      <w:pPr>
        <w:ind w:left="4326" w:hanging="360"/>
      </w:pPr>
    </w:lvl>
    <w:lvl w:ilvl="7" w:tplc="041D0019" w:tentative="1">
      <w:start w:val="1"/>
      <w:numFmt w:val="lowerLetter"/>
      <w:lvlText w:val="%8."/>
      <w:lvlJc w:val="left"/>
      <w:pPr>
        <w:ind w:left="5046" w:hanging="360"/>
      </w:pPr>
    </w:lvl>
    <w:lvl w:ilvl="8" w:tplc="041D001B" w:tentative="1">
      <w:start w:val="1"/>
      <w:numFmt w:val="lowerRoman"/>
      <w:lvlText w:val="%9."/>
      <w:lvlJc w:val="right"/>
      <w:pPr>
        <w:ind w:left="5766" w:hanging="180"/>
      </w:pPr>
    </w:lvl>
  </w:abstractNum>
  <w:abstractNum w:abstractNumId="6" w15:restartNumberingAfterBreak="0">
    <w:nsid w:val="4FF651A8"/>
    <w:multiLevelType w:val="hybridMultilevel"/>
    <w:tmpl w:val="D03039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67684C4E"/>
    <w:multiLevelType w:val="hybridMultilevel"/>
    <w:tmpl w:val="D7AC8DA4"/>
    <w:lvl w:ilvl="0" w:tplc="92622730">
      <w:start w:val="1"/>
      <w:numFmt w:val="decimal"/>
      <w:lvlText w:val="%1."/>
      <w:lvlJc w:val="left"/>
      <w:pPr>
        <w:ind w:left="720" w:hanging="360"/>
      </w:pPr>
      <w:rPr>
        <w:rFonts w:eastAsia="Times New Roman"/>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9" w15:restartNumberingAfterBreak="0">
    <w:nsid w:val="75173FA0"/>
    <w:multiLevelType w:val="hybridMultilevel"/>
    <w:tmpl w:val="395615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350495186">
    <w:abstractNumId w:val="9"/>
  </w:num>
  <w:num w:numId="2" w16cid:durableId="1247036975">
    <w:abstractNumId w:val="6"/>
  </w:num>
  <w:num w:numId="3" w16cid:durableId="743063838">
    <w:abstractNumId w:val="4"/>
  </w:num>
  <w:num w:numId="4" w16cid:durableId="2117670475">
    <w:abstractNumId w:val="5"/>
  </w:num>
  <w:num w:numId="5" w16cid:durableId="264846423">
    <w:abstractNumId w:val="2"/>
  </w:num>
  <w:num w:numId="6" w16cid:durableId="760490047">
    <w:abstractNumId w:val="7"/>
  </w:num>
  <w:num w:numId="7" w16cid:durableId="361708574">
    <w:abstractNumId w:val="1"/>
  </w:num>
  <w:num w:numId="8" w16cid:durableId="6557667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2799498">
    <w:abstractNumId w:val="0"/>
  </w:num>
  <w:num w:numId="10" w16cid:durableId="15823703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cAvailableTexts" w:val="Fraser"/>
    <w:docVar w:name="lcCancel" w:val="Avbryt"/>
    <w:docVar w:name="lcCategory" w:val="Kategori"/>
    <w:docVar w:name="lcDescription" w:val="Beskrivning"/>
    <w:docVar w:name="lcDlgTitle" w:val="Frasbibliotek"/>
    <w:docVar w:name="lcInsert" w:val="Infoga"/>
    <w:docVar w:name="lcInsertReusableText" w:val="Välj från Frasbiblioteket..."/>
    <w:docVar w:name="lcPDFEMail" w:val="Konvertera till PDF och e-posta"/>
    <w:docVar w:name="lcPDFSave" w:val="Spara som PDF..."/>
    <w:docVar w:name="lcSave" w:val="Spara"/>
    <w:docVar w:name="lcSaveReusableText" w:val="Spara till Frasbiblioteket..."/>
    <w:docVar w:name="lcSearch" w:val="Sök"/>
    <w:docVar w:name="lcSearchAll" w:val="Sök Fraser"/>
    <w:docVar w:name="lcSearchFor" w:val="Sök efter:"/>
    <w:docVar w:name="lcTitle" w:val="Titel"/>
    <w:docVar w:name="SwDialogEnabled" w:val="False"/>
  </w:docVars>
  <w:rsids>
    <w:rsidRoot w:val="00F40000"/>
    <w:rsid w:val="000046E1"/>
    <w:rsid w:val="000267BB"/>
    <w:rsid w:val="00046AF4"/>
    <w:rsid w:val="00061F3A"/>
    <w:rsid w:val="000630B1"/>
    <w:rsid w:val="00063CD2"/>
    <w:rsid w:val="00066469"/>
    <w:rsid w:val="000707CC"/>
    <w:rsid w:val="00076799"/>
    <w:rsid w:val="0008412D"/>
    <w:rsid w:val="00096029"/>
    <w:rsid w:val="000961A1"/>
    <w:rsid w:val="000A0146"/>
    <w:rsid w:val="000B06D0"/>
    <w:rsid w:val="000C68BA"/>
    <w:rsid w:val="000C72E3"/>
    <w:rsid w:val="000F2B85"/>
    <w:rsid w:val="000F3C0C"/>
    <w:rsid w:val="0010013C"/>
    <w:rsid w:val="00104869"/>
    <w:rsid w:val="00106459"/>
    <w:rsid w:val="0011061F"/>
    <w:rsid w:val="0011381D"/>
    <w:rsid w:val="00113986"/>
    <w:rsid w:val="001205CD"/>
    <w:rsid w:val="0012181D"/>
    <w:rsid w:val="00142FEF"/>
    <w:rsid w:val="001476A2"/>
    <w:rsid w:val="00153B6E"/>
    <w:rsid w:val="00173F0C"/>
    <w:rsid w:val="00175473"/>
    <w:rsid w:val="00175772"/>
    <w:rsid w:val="0018456D"/>
    <w:rsid w:val="00184CEA"/>
    <w:rsid w:val="001C2218"/>
    <w:rsid w:val="001D645F"/>
    <w:rsid w:val="001E56ED"/>
    <w:rsid w:val="001F6E25"/>
    <w:rsid w:val="00202FAF"/>
    <w:rsid w:val="002103CC"/>
    <w:rsid w:val="002241FC"/>
    <w:rsid w:val="00230280"/>
    <w:rsid w:val="002305AB"/>
    <w:rsid w:val="00240457"/>
    <w:rsid w:val="00241F59"/>
    <w:rsid w:val="00243F1D"/>
    <w:rsid w:val="00257F49"/>
    <w:rsid w:val="002672DA"/>
    <w:rsid w:val="00275686"/>
    <w:rsid w:val="00277F81"/>
    <w:rsid w:val="00291BE0"/>
    <w:rsid w:val="002934CB"/>
    <w:rsid w:val="00297925"/>
    <w:rsid w:val="00297C5E"/>
    <w:rsid w:val="002A776C"/>
    <w:rsid w:val="002B2AFC"/>
    <w:rsid w:val="002E013E"/>
    <w:rsid w:val="002E0256"/>
    <w:rsid w:val="00311AF1"/>
    <w:rsid w:val="00315607"/>
    <w:rsid w:val="003164EC"/>
    <w:rsid w:val="00324D8E"/>
    <w:rsid w:val="00332A7F"/>
    <w:rsid w:val="003413FA"/>
    <w:rsid w:val="00350F60"/>
    <w:rsid w:val="00350FEF"/>
    <w:rsid w:val="00366DB8"/>
    <w:rsid w:val="00372CB4"/>
    <w:rsid w:val="003B4714"/>
    <w:rsid w:val="003C4F2E"/>
    <w:rsid w:val="003E1C65"/>
    <w:rsid w:val="003F0E03"/>
    <w:rsid w:val="0040418B"/>
    <w:rsid w:val="00414E79"/>
    <w:rsid w:val="00415151"/>
    <w:rsid w:val="00436489"/>
    <w:rsid w:val="00440D30"/>
    <w:rsid w:val="00473C11"/>
    <w:rsid w:val="00476454"/>
    <w:rsid w:val="004A5252"/>
    <w:rsid w:val="004B2272"/>
    <w:rsid w:val="004B287C"/>
    <w:rsid w:val="004B7EE0"/>
    <w:rsid w:val="004C0571"/>
    <w:rsid w:val="004C78B0"/>
    <w:rsid w:val="004C7B08"/>
    <w:rsid w:val="004D57C4"/>
    <w:rsid w:val="004E31DE"/>
    <w:rsid w:val="004E48AE"/>
    <w:rsid w:val="004F5130"/>
    <w:rsid w:val="00521790"/>
    <w:rsid w:val="00523A8F"/>
    <w:rsid w:val="0053417A"/>
    <w:rsid w:val="00545C65"/>
    <w:rsid w:val="00554C12"/>
    <w:rsid w:val="005729A0"/>
    <w:rsid w:val="00584995"/>
    <w:rsid w:val="00592351"/>
    <w:rsid w:val="00597ACB"/>
    <w:rsid w:val="005A3472"/>
    <w:rsid w:val="005B0BD0"/>
    <w:rsid w:val="005D27EE"/>
    <w:rsid w:val="005E0764"/>
    <w:rsid w:val="005E6622"/>
    <w:rsid w:val="005F2E17"/>
    <w:rsid w:val="005F3ECC"/>
    <w:rsid w:val="005F5390"/>
    <w:rsid w:val="00603751"/>
    <w:rsid w:val="00613965"/>
    <w:rsid w:val="006350F7"/>
    <w:rsid w:val="00654ADA"/>
    <w:rsid w:val="006565B6"/>
    <w:rsid w:val="00664C8D"/>
    <w:rsid w:val="0067141B"/>
    <w:rsid w:val="00673DB8"/>
    <w:rsid w:val="0067423A"/>
    <w:rsid w:val="006834AE"/>
    <w:rsid w:val="006839B4"/>
    <w:rsid w:val="00690A7F"/>
    <w:rsid w:val="00691815"/>
    <w:rsid w:val="00692056"/>
    <w:rsid w:val="006945D3"/>
    <w:rsid w:val="006B6114"/>
    <w:rsid w:val="006D29DA"/>
    <w:rsid w:val="006E1F42"/>
    <w:rsid w:val="006E24BE"/>
    <w:rsid w:val="006F1BBA"/>
    <w:rsid w:val="006F1DFA"/>
    <w:rsid w:val="006F4591"/>
    <w:rsid w:val="006F660A"/>
    <w:rsid w:val="00705DBC"/>
    <w:rsid w:val="007077CA"/>
    <w:rsid w:val="00713FA3"/>
    <w:rsid w:val="00720B05"/>
    <w:rsid w:val="00722CCF"/>
    <w:rsid w:val="00732F6D"/>
    <w:rsid w:val="00734335"/>
    <w:rsid w:val="00740CD4"/>
    <w:rsid w:val="007417E3"/>
    <w:rsid w:val="00766929"/>
    <w:rsid w:val="00770200"/>
    <w:rsid w:val="0079750E"/>
    <w:rsid w:val="007A447B"/>
    <w:rsid w:val="007B0BDB"/>
    <w:rsid w:val="007C1322"/>
    <w:rsid w:val="007C7096"/>
    <w:rsid w:val="007CAFAE"/>
    <w:rsid w:val="007D2794"/>
    <w:rsid w:val="007E0E54"/>
    <w:rsid w:val="007E234D"/>
    <w:rsid w:val="007E6582"/>
    <w:rsid w:val="007E6C0F"/>
    <w:rsid w:val="007F1268"/>
    <w:rsid w:val="007F46D9"/>
    <w:rsid w:val="00824494"/>
    <w:rsid w:val="00831E91"/>
    <w:rsid w:val="008530E4"/>
    <w:rsid w:val="008574C0"/>
    <w:rsid w:val="008668AC"/>
    <w:rsid w:val="00871FE6"/>
    <w:rsid w:val="008760F6"/>
    <w:rsid w:val="0087776F"/>
    <w:rsid w:val="008971DE"/>
    <w:rsid w:val="008A39A3"/>
    <w:rsid w:val="008A63C9"/>
    <w:rsid w:val="008B0468"/>
    <w:rsid w:val="008B3AAE"/>
    <w:rsid w:val="008B52AE"/>
    <w:rsid w:val="008E5D57"/>
    <w:rsid w:val="009003DD"/>
    <w:rsid w:val="00924BD0"/>
    <w:rsid w:val="00931374"/>
    <w:rsid w:val="0093364B"/>
    <w:rsid w:val="009433F3"/>
    <w:rsid w:val="00960201"/>
    <w:rsid w:val="00963BBB"/>
    <w:rsid w:val="00984288"/>
    <w:rsid w:val="00985ACB"/>
    <w:rsid w:val="009970AC"/>
    <w:rsid w:val="009A583B"/>
    <w:rsid w:val="009B4E2A"/>
    <w:rsid w:val="009B65CC"/>
    <w:rsid w:val="009B68FB"/>
    <w:rsid w:val="009C227B"/>
    <w:rsid w:val="009C4738"/>
    <w:rsid w:val="009D0B6A"/>
    <w:rsid w:val="009D4D5C"/>
    <w:rsid w:val="009D765D"/>
    <w:rsid w:val="009F7400"/>
    <w:rsid w:val="00A0410B"/>
    <w:rsid w:val="00A074B5"/>
    <w:rsid w:val="00A24374"/>
    <w:rsid w:val="00A31F82"/>
    <w:rsid w:val="00A345C1"/>
    <w:rsid w:val="00A3668C"/>
    <w:rsid w:val="00A412C3"/>
    <w:rsid w:val="00A44549"/>
    <w:rsid w:val="00A476C3"/>
    <w:rsid w:val="00A47AD9"/>
    <w:rsid w:val="00A65F56"/>
    <w:rsid w:val="00A8112E"/>
    <w:rsid w:val="00A952E5"/>
    <w:rsid w:val="00AA0284"/>
    <w:rsid w:val="00AA651C"/>
    <w:rsid w:val="00AB0164"/>
    <w:rsid w:val="00AD2B6C"/>
    <w:rsid w:val="00AD421F"/>
    <w:rsid w:val="00AE16A0"/>
    <w:rsid w:val="00AE5147"/>
    <w:rsid w:val="00AE5F41"/>
    <w:rsid w:val="00AE6E1E"/>
    <w:rsid w:val="00AF4FDF"/>
    <w:rsid w:val="00B04EE7"/>
    <w:rsid w:val="00B074A9"/>
    <w:rsid w:val="00B23428"/>
    <w:rsid w:val="00B30CFF"/>
    <w:rsid w:val="00B353ED"/>
    <w:rsid w:val="00B4215B"/>
    <w:rsid w:val="00B456FF"/>
    <w:rsid w:val="00B50BBC"/>
    <w:rsid w:val="00B53A2A"/>
    <w:rsid w:val="00B63E0E"/>
    <w:rsid w:val="00B67E85"/>
    <w:rsid w:val="00B94C9B"/>
    <w:rsid w:val="00BA1320"/>
    <w:rsid w:val="00BA3A10"/>
    <w:rsid w:val="00BA4781"/>
    <w:rsid w:val="00BC3912"/>
    <w:rsid w:val="00BC5A4E"/>
    <w:rsid w:val="00BD0663"/>
    <w:rsid w:val="00BD1BA0"/>
    <w:rsid w:val="00BF282B"/>
    <w:rsid w:val="00C0363D"/>
    <w:rsid w:val="00C0476E"/>
    <w:rsid w:val="00C05A0E"/>
    <w:rsid w:val="00C407B2"/>
    <w:rsid w:val="00C417C9"/>
    <w:rsid w:val="00C45E5A"/>
    <w:rsid w:val="00C46905"/>
    <w:rsid w:val="00C54138"/>
    <w:rsid w:val="00C62500"/>
    <w:rsid w:val="00C66F32"/>
    <w:rsid w:val="00C76517"/>
    <w:rsid w:val="00C832A1"/>
    <w:rsid w:val="00C85A21"/>
    <w:rsid w:val="00C9312B"/>
    <w:rsid w:val="00C931F6"/>
    <w:rsid w:val="00C976E6"/>
    <w:rsid w:val="00CA7DF2"/>
    <w:rsid w:val="00CC1B40"/>
    <w:rsid w:val="00CC7D3C"/>
    <w:rsid w:val="00CE480E"/>
    <w:rsid w:val="00CF287A"/>
    <w:rsid w:val="00D21D96"/>
    <w:rsid w:val="00D22966"/>
    <w:rsid w:val="00D23F9F"/>
    <w:rsid w:val="00D63A60"/>
    <w:rsid w:val="00D831F0"/>
    <w:rsid w:val="00DA1AEE"/>
    <w:rsid w:val="00DC24CE"/>
    <w:rsid w:val="00DC59E4"/>
    <w:rsid w:val="00DC6E79"/>
    <w:rsid w:val="00DD5395"/>
    <w:rsid w:val="00DF152D"/>
    <w:rsid w:val="00E11731"/>
    <w:rsid w:val="00E127F8"/>
    <w:rsid w:val="00E134DC"/>
    <w:rsid w:val="00E24848"/>
    <w:rsid w:val="00E24D89"/>
    <w:rsid w:val="00E449FB"/>
    <w:rsid w:val="00E45A27"/>
    <w:rsid w:val="00E538C0"/>
    <w:rsid w:val="00E54C6C"/>
    <w:rsid w:val="00E54DEA"/>
    <w:rsid w:val="00E5726A"/>
    <w:rsid w:val="00E6226E"/>
    <w:rsid w:val="00E76E8C"/>
    <w:rsid w:val="00E81C8F"/>
    <w:rsid w:val="00E82E1D"/>
    <w:rsid w:val="00E90B45"/>
    <w:rsid w:val="00E91C73"/>
    <w:rsid w:val="00E92E25"/>
    <w:rsid w:val="00EA4A38"/>
    <w:rsid w:val="00EA564B"/>
    <w:rsid w:val="00EB10C3"/>
    <w:rsid w:val="00EB6FFB"/>
    <w:rsid w:val="00EC2CE7"/>
    <w:rsid w:val="00EE09B5"/>
    <w:rsid w:val="00EE384A"/>
    <w:rsid w:val="00EF388D"/>
    <w:rsid w:val="00EF75C2"/>
    <w:rsid w:val="00F40000"/>
    <w:rsid w:val="00F40AEA"/>
    <w:rsid w:val="00F4117C"/>
    <w:rsid w:val="00F55C8C"/>
    <w:rsid w:val="00F57712"/>
    <w:rsid w:val="00F57801"/>
    <w:rsid w:val="00F66187"/>
    <w:rsid w:val="00F74766"/>
    <w:rsid w:val="00F811F3"/>
    <w:rsid w:val="00FA0781"/>
    <w:rsid w:val="00FB3384"/>
    <w:rsid w:val="00FC2D1E"/>
    <w:rsid w:val="00FE6B5B"/>
    <w:rsid w:val="00FF6473"/>
    <w:rsid w:val="0284C43E"/>
    <w:rsid w:val="046D1977"/>
    <w:rsid w:val="06870C94"/>
    <w:rsid w:val="068D32B7"/>
    <w:rsid w:val="0BF1504E"/>
    <w:rsid w:val="0C20B21A"/>
    <w:rsid w:val="0F28F110"/>
    <w:rsid w:val="10596DF5"/>
    <w:rsid w:val="139F289E"/>
    <w:rsid w:val="14DBBEF3"/>
    <w:rsid w:val="15C90642"/>
    <w:rsid w:val="1C077418"/>
    <w:rsid w:val="1D67B67C"/>
    <w:rsid w:val="1DA34479"/>
    <w:rsid w:val="1F3F14DA"/>
    <w:rsid w:val="2074EBAA"/>
    <w:rsid w:val="289EBCDF"/>
    <w:rsid w:val="29278545"/>
    <w:rsid w:val="2C4F1DA6"/>
    <w:rsid w:val="2E812121"/>
    <w:rsid w:val="2F56EFFC"/>
    <w:rsid w:val="30F28BAC"/>
    <w:rsid w:val="31BF2AEE"/>
    <w:rsid w:val="38865908"/>
    <w:rsid w:val="392EA812"/>
    <w:rsid w:val="39E125F1"/>
    <w:rsid w:val="3B4E4DE9"/>
    <w:rsid w:val="3DF64A6C"/>
    <w:rsid w:val="3F1B5C5E"/>
    <w:rsid w:val="40878529"/>
    <w:rsid w:val="426DE794"/>
    <w:rsid w:val="42CBC8FD"/>
    <w:rsid w:val="4B0345B3"/>
    <w:rsid w:val="4CFCAB0D"/>
    <w:rsid w:val="4D534CDD"/>
    <w:rsid w:val="51F99E99"/>
    <w:rsid w:val="531DF9AE"/>
    <w:rsid w:val="53DB0B31"/>
    <w:rsid w:val="547643AC"/>
    <w:rsid w:val="563FFEE3"/>
    <w:rsid w:val="5712ABF3"/>
    <w:rsid w:val="5EEFD302"/>
    <w:rsid w:val="5FA00B5F"/>
    <w:rsid w:val="61D736D6"/>
    <w:rsid w:val="630C3187"/>
    <w:rsid w:val="66A75902"/>
    <w:rsid w:val="66C1B196"/>
    <w:rsid w:val="67AADFDB"/>
    <w:rsid w:val="67F37AF2"/>
    <w:rsid w:val="6946B03C"/>
    <w:rsid w:val="69B86311"/>
    <w:rsid w:val="69F9D7AD"/>
    <w:rsid w:val="6A685E05"/>
    <w:rsid w:val="6AF402D7"/>
    <w:rsid w:val="6B71049B"/>
    <w:rsid w:val="6C7E50FE"/>
    <w:rsid w:val="6D06DEDB"/>
    <w:rsid w:val="6D9FFEC7"/>
    <w:rsid w:val="6DDCB505"/>
    <w:rsid w:val="700886B5"/>
    <w:rsid w:val="70712E6E"/>
    <w:rsid w:val="7BD33EFD"/>
    <w:rsid w:val="7D5B8C7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ECC4A"/>
  <w15:docId w15:val="{4E3257D1-1092-4124-9114-8A7F9FE4C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Tid">
    <w:name w:val="Tid"/>
    <w:aliases w:val="plats,paragrafer"/>
    <w:basedOn w:val="Normal"/>
    <w:rsid w:val="00603751"/>
    <w:pPr>
      <w:contextualSpacing/>
    </w:pPr>
    <w:rPr>
      <w:rFonts w:asciiTheme="majorHAnsi" w:hAnsiTheme="majorHAnsi"/>
    </w:rPr>
  </w:style>
  <w:style w:type="paragraph" w:customStyle="1" w:styleId="Dokumentinfo">
    <w:name w:val="Dokument info"/>
    <w:basedOn w:val="Normal"/>
    <w:rsid w:val="00603751"/>
    <w:pPr>
      <w:contextualSpacing/>
    </w:pPr>
    <w:rPr>
      <w:rFonts w:asciiTheme="majorHAnsi" w:hAnsiTheme="majorHAnsi"/>
    </w:rPr>
  </w:style>
  <w:style w:type="paragraph" w:styleId="Innehll2">
    <w:name w:val="toc 2"/>
    <w:basedOn w:val="Normal"/>
    <w:next w:val="Normal"/>
    <w:autoRedefine/>
    <w:uiPriority w:val="39"/>
    <w:unhideWhenUsed/>
    <w:rsid w:val="00603751"/>
    <w:pPr>
      <w:spacing w:after="100"/>
      <w:ind w:left="220"/>
    </w:pPr>
  </w:style>
  <w:style w:type="paragraph" w:styleId="Innehll3">
    <w:name w:val="toc 3"/>
    <w:basedOn w:val="Normal"/>
    <w:next w:val="Normal"/>
    <w:autoRedefine/>
    <w:uiPriority w:val="39"/>
    <w:unhideWhenUsed/>
    <w:rsid w:val="00603751"/>
    <w:pPr>
      <w:spacing w:after="100"/>
      <w:ind w:left="440"/>
    </w:pPr>
  </w:style>
  <w:style w:type="paragraph" w:styleId="Innehll1">
    <w:name w:val="toc 1"/>
    <w:basedOn w:val="Normal"/>
    <w:next w:val="Normal"/>
    <w:autoRedefine/>
    <w:uiPriority w:val="39"/>
    <w:unhideWhenUsed/>
    <w:rsid w:val="00603751"/>
    <w:pPr>
      <w:spacing w:after="100"/>
    </w:pPr>
  </w:style>
  <w:style w:type="paragraph" w:styleId="Liststycke">
    <w:name w:val="List Paragraph"/>
    <w:basedOn w:val="Normal"/>
    <w:uiPriority w:val="34"/>
    <w:qFormat/>
    <w:rsid w:val="00FF6473"/>
    <w:pPr>
      <w:ind w:left="720"/>
      <w:contextualSpacing/>
    </w:pPr>
  </w:style>
  <w:style w:type="character" w:styleId="Olstomnmnande">
    <w:name w:val="Unresolved Mention"/>
    <w:basedOn w:val="Standardstycketeckensnitt"/>
    <w:uiPriority w:val="99"/>
    <w:semiHidden/>
    <w:unhideWhenUsed/>
    <w:rsid w:val="00871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299261">
      <w:bodyDiv w:val="1"/>
      <w:marLeft w:val="0"/>
      <w:marRight w:val="0"/>
      <w:marTop w:val="0"/>
      <w:marBottom w:val="0"/>
      <w:divBdr>
        <w:top w:val="none" w:sz="0" w:space="0" w:color="auto"/>
        <w:left w:val="none" w:sz="0" w:space="0" w:color="auto"/>
        <w:bottom w:val="none" w:sz="0" w:space="0" w:color="auto"/>
        <w:right w:val="none" w:sz="0" w:space="0" w:color="auto"/>
      </w:divBdr>
      <w:divsChild>
        <w:div w:id="954672475">
          <w:marLeft w:val="0"/>
          <w:marRight w:val="0"/>
          <w:marTop w:val="0"/>
          <w:marBottom w:val="0"/>
          <w:divBdr>
            <w:top w:val="none" w:sz="0" w:space="0" w:color="auto"/>
            <w:left w:val="none" w:sz="0" w:space="0" w:color="auto"/>
            <w:bottom w:val="none" w:sz="0" w:space="0" w:color="auto"/>
            <w:right w:val="none" w:sz="0" w:space="0" w:color="auto"/>
          </w:divBdr>
        </w:div>
      </w:divsChild>
    </w:div>
    <w:div w:id="891579647">
      <w:bodyDiv w:val="1"/>
      <w:marLeft w:val="0"/>
      <w:marRight w:val="0"/>
      <w:marTop w:val="0"/>
      <w:marBottom w:val="0"/>
      <w:divBdr>
        <w:top w:val="none" w:sz="0" w:space="0" w:color="auto"/>
        <w:left w:val="none" w:sz="0" w:space="0" w:color="auto"/>
        <w:bottom w:val="none" w:sz="0" w:space="0" w:color="auto"/>
        <w:right w:val="none" w:sz="0" w:space="0" w:color="auto"/>
      </w:divBdr>
    </w:div>
    <w:div w:id="960186396">
      <w:bodyDiv w:val="1"/>
      <w:marLeft w:val="0"/>
      <w:marRight w:val="0"/>
      <w:marTop w:val="0"/>
      <w:marBottom w:val="0"/>
      <w:divBdr>
        <w:top w:val="none" w:sz="0" w:space="0" w:color="auto"/>
        <w:left w:val="none" w:sz="0" w:space="0" w:color="auto"/>
        <w:bottom w:val="none" w:sz="0" w:space="0" w:color="auto"/>
        <w:right w:val="none" w:sz="0" w:space="0" w:color="auto"/>
      </w:divBdr>
    </w:div>
    <w:div w:id="1046176116">
      <w:bodyDiv w:val="1"/>
      <w:marLeft w:val="0"/>
      <w:marRight w:val="0"/>
      <w:marTop w:val="0"/>
      <w:marBottom w:val="0"/>
      <w:divBdr>
        <w:top w:val="none" w:sz="0" w:space="0" w:color="auto"/>
        <w:left w:val="none" w:sz="0" w:space="0" w:color="auto"/>
        <w:bottom w:val="none" w:sz="0" w:space="0" w:color="auto"/>
        <w:right w:val="none" w:sz="0" w:space="0" w:color="auto"/>
      </w:divBdr>
    </w:div>
    <w:div w:id="1134251829">
      <w:bodyDiv w:val="1"/>
      <w:marLeft w:val="0"/>
      <w:marRight w:val="0"/>
      <w:marTop w:val="0"/>
      <w:marBottom w:val="0"/>
      <w:divBdr>
        <w:top w:val="none" w:sz="0" w:space="0" w:color="auto"/>
        <w:left w:val="none" w:sz="0" w:space="0" w:color="auto"/>
        <w:bottom w:val="none" w:sz="0" w:space="0" w:color="auto"/>
        <w:right w:val="none" w:sz="0" w:space="0" w:color="auto"/>
      </w:divBdr>
    </w:div>
    <w:div w:id="1474374729">
      <w:bodyDiv w:val="1"/>
      <w:marLeft w:val="0"/>
      <w:marRight w:val="0"/>
      <w:marTop w:val="0"/>
      <w:marBottom w:val="0"/>
      <w:divBdr>
        <w:top w:val="none" w:sz="0" w:space="0" w:color="auto"/>
        <w:left w:val="none" w:sz="0" w:space="0" w:color="auto"/>
        <w:bottom w:val="none" w:sz="0" w:space="0" w:color="auto"/>
        <w:right w:val="none" w:sz="0" w:space="0" w:color="auto"/>
      </w:divBdr>
    </w:div>
    <w:div w:id="1602445336">
      <w:bodyDiv w:val="1"/>
      <w:marLeft w:val="0"/>
      <w:marRight w:val="0"/>
      <w:marTop w:val="0"/>
      <w:marBottom w:val="0"/>
      <w:divBdr>
        <w:top w:val="none" w:sz="0" w:space="0" w:color="auto"/>
        <w:left w:val="none" w:sz="0" w:space="0" w:color="auto"/>
        <w:bottom w:val="none" w:sz="0" w:space="0" w:color="auto"/>
        <w:right w:val="none" w:sz="0" w:space="0" w:color="auto"/>
      </w:divBdr>
    </w:div>
    <w:div w:id="19432971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oteborg.se/wps/portal/start/foretag-och-organisationer/tillstand-och-regler/salja-och-servera/serveringstillstand-for-alkohol/gardsforsaljning-av-alkoholdrycker/om-gardsforsaljning-av-alkoholdrycke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karin.forsberg@businessregion.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rin.ingelhag@businessregion.se" TargetMode="External"/><Relationship Id="rId5" Type="http://schemas.openxmlformats.org/officeDocument/2006/relationships/numbering" Target="numbering.xml"/><Relationship Id="rId15" Type="http://schemas.openxmlformats.org/officeDocument/2006/relationships/hyperlink" Target="https://sv.wikipedia.org/wiki/Eva_Flybor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v.wikipedia.org/wiki/Mariah_ben_Salem_Dyneh%C3%A4l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ey\AppData\Roaming\Microsoft\Mallar\BRG%20Beslutsunderlag.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16A92000201544F9D267C49C52F4A04" ma:contentTypeVersion="8" ma:contentTypeDescription="Skapa ett nytt dokument." ma:contentTypeScope="" ma:versionID="e8186960f5005521e42ad5b78c025e25">
  <xsd:schema xmlns:xsd="http://www.w3.org/2001/XMLSchema" xmlns:xs="http://www.w3.org/2001/XMLSchema" xmlns:p="http://schemas.microsoft.com/office/2006/metadata/properties" xmlns:ns2="c14830de-8ea5-41ee-a0d2-cef36d32dd58" xmlns:ns3="059b457e-ae0d-48bb-b90e-7b883d6bd4f4" targetNamespace="http://schemas.microsoft.com/office/2006/metadata/properties" ma:root="true" ma:fieldsID="3df3fe5d8cb36502f41ae741024f6fd8" ns2:_="" ns3:_="">
    <xsd:import namespace="c14830de-8ea5-41ee-a0d2-cef36d32dd58"/>
    <xsd:import namespace="059b457e-ae0d-48bb-b90e-7b883d6bd4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830de-8ea5-41ee-a0d2-cef36d32d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9b457e-ae0d-48bb-b90e-7b883d6bd4f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59b457e-ae0d-48bb-b90e-7b883d6bd4f4">
      <UserInfo>
        <DisplayName>Jessica Nilsson</DisplayName>
        <AccountId>243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7F299-D6B7-4E3F-8171-D16537662A68}">
  <ds:schemaRefs>
    <ds:schemaRef ds:uri="http://schemas.openxmlformats.org/officeDocument/2006/bibliography"/>
  </ds:schemaRefs>
</ds:datastoreItem>
</file>

<file path=customXml/itemProps2.xml><?xml version="1.0" encoding="utf-8"?>
<ds:datastoreItem xmlns:ds="http://schemas.openxmlformats.org/officeDocument/2006/customXml" ds:itemID="{794B33B1-3C38-4EB4-AC74-3DA8F82859CA}"/>
</file>

<file path=customXml/itemProps3.xml><?xml version="1.0" encoding="utf-8"?>
<ds:datastoreItem xmlns:ds="http://schemas.openxmlformats.org/officeDocument/2006/customXml" ds:itemID="{339A4AF6-8DE1-4B4E-876B-800BD51518D1}">
  <ds:schemaRefs>
    <ds:schemaRef ds:uri="http://schemas.microsoft.com/office/2006/metadata/properties"/>
    <ds:schemaRef ds:uri="http://schemas.microsoft.com/office/infopath/2007/PartnerControls"/>
    <ds:schemaRef ds:uri="0742cec8-5de4-471a-9bbf-fbf03a172d53"/>
    <ds:schemaRef ds:uri="ad124466-f9fa-4b27-9fee-9fb8351a2b21"/>
  </ds:schemaRefs>
</ds:datastoreItem>
</file>

<file path=customXml/itemProps4.xml><?xml version="1.0" encoding="utf-8"?>
<ds:datastoreItem xmlns:ds="http://schemas.openxmlformats.org/officeDocument/2006/customXml" ds:itemID="{95F315DB-11CE-439B-A783-56BF0FAD62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BRG Beslutsunderlag.dotx</Template>
  <TotalTime>0</TotalTime>
  <Pages>3</Pages>
  <Words>1051</Words>
  <Characters>5572</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BUSINESS REGION GÖTEBORG AB</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REGION GÖTEBORG AB</dc:title>
  <dc:subject/>
  <dc:creator>Rasmus Heyman</dc:creator>
  <cp:keywords/>
  <dc:description/>
  <cp:lastModifiedBy>Jessica Nilsson</cp:lastModifiedBy>
  <cp:revision>2</cp:revision>
  <cp:lastPrinted>2024-02-12T10:18:00Z</cp:lastPrinted>
  <dcterms:created xsi:type="dcterms:W3CDTF">2026-02-02T07:36:00Z</dcterms:created>
  <dcterms:modified xsi:type="dcterms:W3CDTF">2026-02-02T07:36:00Z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_SaveText">
    <vt:lpwstr>Spara till Notes</vt:lpwstr>
  </property>
  <property fmtid="{D5CDD505-2E9C-101B-9397-08002B2CF9AE}" pid="3" name="SW_SaveCloseOfficeText">
    <vt:lpwstr>Spara och Stäng Officedokument</vt:lpwstr>
  </property>
  <property fmtid="{D5CDD505-2E9C-101B-9397-08002B2CF9AE}" pid="4" name="SW_SaveCloseText">
    <vt:lpwstr>Spara och Stäng Notes dokument</vt:lpwstr>
  </property>
  <property fmtid="{D5CDD505-2E9C-101B-9397-08002B2CF9AE}" pid="5" name="SW_DocUNID">
    <vt:lpwstr>63C580FC6B13637DC125831B0050729D</vt:lpwstr>
  </property>
  <property fmtid="{D5CDD505-2E9C-101B-9397-08002B2CF9AE}" pid="6" name="SW_DocHWND">
    <vt:r8>6161932</vt:r8>
  </property>
  <property fmtid="{D5CDD505-2E9C-101B-9397-08002B2CF9AE}" pid="7" name="SW_IntOfficeMacros">
    <vt:lpwstr>Enabled</vt:lpwstr>
  </property>
  <property fmtid="{D5CDD505-2E9C-101B-9397-08002B2CF9AE}" pid="8" name="SW_CustomTitle">
    <vt:lpwstr>SWING Integrator 5 Document</vt:lpwstr>
  </property>
  <property fmtid="{D5CDD505-2E9C-101B-9397-08002B2CF9AE}" pid="9" name="SW_DialogTitle">
    <vt:lpwstr>SWING Integrator för Notes och Office</vt:lpwstr>
  </property>
  <property fmtid="{D5CDD505-2E9C-101B-9397-08002B2CF9AE}" pid="10" name="SW_PromptText">
    <vt:lpwstr>Vill du spara?</vt:lpwstr>
  </property>
  <property fmtid="{D5CDD505-2E9C-101B-9397-08002B2CF9AE}" pid="11" name="SW_NewDocument">
    <vt:lpwstr/>
  </property>
  <property fmtid="{D5CDD505-2E9C-101B-9397-08002B2CF9AE}" pid="12" name="SW_TemplateServer">
    <vt:lpwstr/>
  </property>
  <property fmtid="{D5CDD505-2E9C-101B-9397-08002B2CF9AE}" pid="13" name="SW_TemplateDB">
    <vt:lpwstr/>
  </property>
  <property fmtid="{D5CDD505-2E9C-101B-9397-08002B2CF9AE}" pid="14" name="SW_NotesContext">
    <vt:lpwstr/>
  </property>
  <property fmtid="{D5CDD505-2E9C-101B-9397-08002B2CF9AE}" pid="15" name="SW_DocumentServer">
    <vt:lpwstr>CN=S002aDa01/OU=ADB-kontoret/O=Göteborgs Kommun</vt:lpwstr>
  </property>
  <property fmtid="{D5CDD505-2E9C-101B-9397-08002B2CF9AE}" pid="16" name="SW_DocumentDB">
    <vt:lpwstr>prod\Stadskansliet\LIS\Arbetsgrupper\SLKarenden.nsf</vt:lpwstr>
  </property>
  <property fmtid="{D5CDD505-2E9C-101B-9397-08002B2CF9AE}" pid="17" name="SW_ShowContentLibMenus">
    <vt:bool>false</vt:bool>
  </property>
  <property fmtid="{D5CDD505-2E9C-101B-9397-08002B2CF9AE}" pid="18" name="SW_SaveAsPrompt">
    <vt:lpwstr>Dokumentet har inte blivit sparat och du håller på att jobba med en lokal kopia av dokumentet. För att behålla ändringarna i Lotus Notes-databasen måste du spara dokumentet. Vill du fortsätta?</vt:lpwstr>
  </property>
  <property fmtid="{D5CDD505-2E9C-101B-9397-08002B2CF9AE}" pid="19" name="SW_VisibleVBAMacroMenuItems">
    <vt:r8>127</vt:r8>
  </property>
  <property fmtid="{D5CDD505-2E9C-101B-9397-08002B2CF9AE}" pid="20" name="SW_EnabledVBAMacroMenuItems">
    <vt:r8>7</vt:r8>
  </property>
  <property fmtid="{D5CDD505-2E9C-101B-9397-08002B2CF9AE}" pid="21" name="SW_AddinName">
    <vt:lpwstr>SWINGINTEGRATOR.5.29.000.DOT</vt:lpwstr>
  </property>
  <property fmtid="{D5CDD505-2E9C-101B-9397-08002B2CF9AE}" pid="22" name="ContentTypeId">
    <vt:lpwstr>0x010100116A92000201544F9D267C49C52F4A04</vt:lpwstr>
  </property>
  <property fmtid="{D5CDD505-2E9C-101B-9397-08002B2CF9AE}" pid="23" name="DWP_Amnesomrade">
    <vt:lpwstr/>
  </property>
  <property fmtid="{D5CDD505-2E9C-101B-9397-08002B2CF9AE}" pid="24" name="DWP_Klassificering">
    <vt:lpwstr>3;#2.10 Informera, kommunicera och omvärldsbevaka|3ff844d2-8674-4c65-b1e3-98636430f8fd</vt:lpwstr>
  </property>
  <property fmtid="{D5CDD505-2E9C-101B-9397-08002B2CF9AE}" pid="25" name="DWP_Dokumenttyp">
    <vt:lpwstr>2;#Anvisning|d7c953c8-103e-4452-8593-2c554f2d7749</vt:lpwstr>
  </property>
  <property fmtid="{D5CDD505-2E9C-101B-9397-08002B2CF9AE}" pid="26" name="MediaServiceImageTags">
    <vt:lpwstr/>
  </property>
</Properties>
</file>