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color="auto" w:sz="0" w:space="0"/>
          <w:left w:val="none" w:color="auto" w:sz="0" w:space="0"/>
          <w:bottom w:val="single" w:color="4D4D4D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:rsidTr="009D765D" w14:paraId="60FBE9BA" w14:textId="77777777">
        <w:sdt>
          <w:sdtPr>
            <w:rPr>
              <w:rFonts w:ascii="Palatino Linotype" w:hAnsi="Palatino Linotype"/>
              <w:sz w:val="24"/>
              <w:szCs w:val="28"/>
            </w:rPr>
            <w:alias w:val="Enhet/förvaltning/organisation"/>
            <w:tag w:val="Göteborgs Stad"/>
            <w:id w:val="-1154211905"/>
            <w:placeholder>
              <w:docPart w:val="94E0C5B28ECB437F8B9D35B9B4152261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:rsidR="00770200" w:rsidP="00945E7C" w:rsidRDefault="009D765D" w14:paraId="590F2C5C" w14:textId="77777777">
                <w:pPr>
                  <w:pStyle w:val="Sidhuvud"/>
                </w:pPr>
                <w:r w:rsidRPr="009D765D">
                  <w:rPr>
                    <w:rFonts w:ascii="Palatino Linotype" w:hAnsi="Palatino Linotype"/>
                    <w:sz w:val="24"/>
                    <w:szCs w:val="28"/>
                  </w:rP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:rsidR="00770200" w:rsidP="00945E7C" w:rsidRDefault="00770200" w14:paraId="3625BE22" w14:textId="77777777">
            <w:pPr>
              <w:pStyle w:val="Sidhuvud"/>
              <w:jc w:val="right"/>
            </w:pPr>
          </w:p>
        </w:tc>
      </w:tr>
      <w:tr w:rsidR="00770200" w:rsidTr="009D765D" w14:paraId="74D9E56C" w14:textId="77777777">
        <w:tc>
          <w:tcPr>
            <w:tcW w:w="5103" w:type="dxa"/>
            <w:tcBorders>
              <w:top w:val="nil"/>
              <w:bottom w:val="nil"/>
            </w:tcBorders>
          </w:tcPr>
          <w:p w:rsidR="00770200" w:rsidP="00945E7C" w:rsidRDefault="00770200" w14:paraId="3B427A6F" w14:textId="77777777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:rsidR="00770200" w:rsidP="00945E7C" w:rsidRDefault="00770200" w14:paraId="005FC374" w14:textId="77777777">
            <w:pPr>
              <w:pStyle w:val="Sidhuvud"/>
              <w:jc w:val="right"/>
            </w:pPr>
          </w:p>
        </w:tc>
      </w:tr>
      <w:tr w:rsidR="000707CC" w:rsidTr="009D765D" w14:paraId="130E1E65" w14:textId="77777777">
        <w:tc>
          <w:tcPr>
            <w:tcW w:w="5103" w:type="dxa"/>
            <w:tcBorders>
              <w:top w:val="nil"/>
              <w:bottom w:val="nil"/>
            </w:tcBorders>
          </w:tcPr>
          <w:p w:rsidR="000707CC" w:rsidP="000707CC" w:rsidRDefault="000707CC" w14:paraId="6643477C" w14:textId="77777777">
            <w:pPr>
              <w:pStyle w:val="Sidhuvud"/>
              <w:spacing w:after="160" w:afterAutospacing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707CC" w:rsidP="00945E7C" w:rsidRDefault="000707CC" w14:paraId="3E1A53D0" w14:textId="77777777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8505"/>
        <w:gridCol w:w="567"/>
      </w:tblGrid>
      <w:tr w:rsidRPr="009D765D" w:rsidR="000707CC" w:rsidTr="50C6BD71" w14:paraId="0B91A5D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  <w:tcMar/>
          </w:tcPr>
          <w:p w:rsidRPr="009D765D" w:rsidR="000707CC" w:rsidP="000707CC" w:rsidRDefault="000707CC" w14:paraId="1FB0B547" w14:textId="77777777">
            <w:pPr>
              <w:pStyle w:val="Dokumentinfo"/>
              <w:rPr>
                <w:rFonts w:ascii="Palatino Linotype" w:hAnsi="Palatino Linotype"/>
                <w:b w:val="0"/>
              </w:rPr>
            </w:pPr>
          </w:p>
          <w:tbl>
            <w:tblPr>
              <w:tblStyle w:val="Tabellrutnt"/>
              <w:tblW w:w="8505" w:type="dxa"/>
              <w:tblBorders>
                <w:left w:val="none" w:color="auto" w:sz="0" w:space="0"/>
                <w:right w:val="none" w:color="auto" w:sz="0" w:space="0"/>
              </w:tblBorders>
              <w:tblLook w:val="0400" w:firstRow="0" w:lastRow="0" w:firstColumn="0" w:lastColumn="0" w:noHBand="0" w:noVBand="1"/>
            </w:tblPr>
            <w:tblGrid>
              <w:gridCol w:w="4536"/>
              <w:gridCol w:w="3969"/>
            </w:tblGrid>
            <w:tr w:rsidRPr="009D765D" w:rsidR="009D765D" w:rsidTr="50C6BD71" w14:paraId="5C65D4DB" w14:textId="77777777">
              <w:trPr>
                <w:trHeight w:val="500"/>
              </w:trPr>
              <w:tc>
                <w:tcPr>
                  <w:tcW w:w="4536" w:type="dxa"/>
                  <w:tcMar/>
                </w:tcPr>
                <w:p w:rsidRPr="009D765D" w:rsidR="009D765D" w:rsidP="00EB0547" w:rsidRDefault="00443288" w14:paraId="59271B31" w14:textId="3FBF5172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bookmarkStart w:name="_Toc478651876" w:id="0"/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Information</w:t>
                  </w:r>
                </w:p>
              </w:tc>
              <w:tc>
                <w:tcPr>
                  <w:tcW w:w="3969" w:type="dxa"/>
                  <w:tcMar/>
                </w:tcPr>
                <w:p w:rsidRPr="009D765D" w:rsidR="009D765D" w:rsidP="00EB0547" w:rsidRDefault="009D765D" w14:paraId="4C4AFBB2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Handläggare: </w:t>
                  </w:r>
                </w:p>
                <w:p w:rsidRPr="009D765D" w:rsidR="009D765D" w:rsidP="00EB0547" w:rsidRDefault="00443288" w14:paraId="73A6ADC8" w14:textId="4ECC4876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Annelie Wignell</w:t>
                  </w:r>
                </w:p>
              </w:tc>
            </w:tr>
            <w:tr w:rsidRPr="009D765D" w:rsidR="009D765D" w:rsidTr="50C6BD71" w14:paraId="03E0194F" w14:textId="77777777">
              <w:tc>
                <w:tcPr>
                  <w:tcW w:w="4536" w:type="dxa"/>
                  <w:tcMar/>
                </w:tcPr>
                <w:p w:rsidRPr="009D765D" w:rsidR="009D765D" w:rsidP="00EB0547" w:rsidRDefault="009D765D" w14:paraId="49A3B17F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Styrelsen </w:t>
                  </w:r>
                </w:p>
                <w:p w:rsidRPr="009D765D" w:rsidR="009D765D" w:rsidP="00EB0547" w:rsidRDefault="00443288" w14:paraId="27DD2A1B" w14:textId="570140CD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2026-02-09</w:t>
                  </w:r>
                </w:p>
              </w:tc>
              <w:tc>
                <w:tcPr>
                  <w:tcW w:w="3969" w:type="dxa"/>
                  <w:tcMar/>
                </w:tcPr>
                <w:p w:rsidRPr="009D765D" w:rsidR="009D765D" w:rsidP="00EB0547" w:rsidRDefault="009D765D" w14:paraId="6AA526E5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Telefon:</w:t>
                  </w:r>
                </w:p>
                <w:p w:rsidRPr="009D765D" w:rsidR="009D765D" w:rsidP="00EB0547" w:rsidRDefault="00443288" w14:paraId="5CD21E45" w14:textId="06BB166C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031–3676194</w:t>
                  </w:r>
                </w:p>
              </w:tc>
            </w:tr>
            <w:tr w:rsidRPr="009D765D" w:rsidR="009D765D" w:rsidTr="50C6BD71" w14:paraId="0B1BE6CC" w14:textId="77777777"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4536" w:type="dxa"/>
                  <w:tcMar/>
                </w:tcPr>
                <w:p w:rsidRPr="009D765D" w:rsidR="009D765D" w:rsidP="00EB0547" w:rsidRDefault="00CE63B3" w14:paraId="47378FD1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50C6BD71" w:rsidR="00CE63B3">
                    <w:rPr>
                      <w:rFonts w:ascii="Palatino Linotype" w:hAnsi="Palatino Linotype"/>
                      <w:sz w:val="18"/>
                      <w:szCs w:val="18"/>
                    </w:rPr>
                    <w:t>Ärende</w:t>
                  </w:r>
                  <w:r w:rsidRPr="50C6BD71" w:rsidR="009D765D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nummer </w:t>
                  </w:r>
                </w:p>
                <w:p w:rsidRPr="009D765D" w:rsidR="009D765D" w:rsidP="50C6BD71" w:rsidRDefault="009D765D" w14:paraId="39950D88" w14:textId="2D50E50D">
                  <w:pPr>
                    <w:pStyle w:val="Dokumentinfo"/>
                    <w:suppressLineNumbers w:val="0"/>
                    <w:bidi w:val="0"/>
                    <w:spacing w:before="0" w:beforeAutospacing="off" w:afterAutospacing="on" w:line="276" w:lineRule="auto"/>
                    <w:ind w:left="0" w:right="0"/>
                    <w:jc w:val="left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50C6BD71" w:rsidR="4202F94C">
                    <w:rPr>
                      <w:rFonts w:ascii="Palatino Linotype" w:hAnsi="Palatino Linotype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969" w:type="dxa"/>
                  <w:tcMar/>
                </w:tcPr>
                <w:p w:rsidRPr="009D765D" w:rsidR="009D765D" w:rsidP="00EB0547" w:rsidRDefault="009D765D" w14:paraId="2634F49F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E-post:</w:t>
                  </w:r>
                </w:p>
                <w:p w:rsidRPr="009D765D" w:rsidR="009D765D" w:rsidP="00EB0547" w:rsidRDefault="00443288" w14:paraId="589945E9" w14:textId="6135EE9A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annelie.wignell</w:t>
                  </w:r>
                  <w:r w:rsidRPr="009D765D" w:rsidR="009D765D">
                    <w:rPr>
                      <w:rFonts w:ascii="Palatino Linotype" w:hAnsi="Palatino Linotype"/>
                      <w:sz w:val="18"/>
                      <w:szCs w:val="20"/>
                    </w:rPr>
                    <w:t>@businessregion.se</w:t>
                  </w:r>
                </w:p>
              </w:tc>
            </w:tr>
          </w:tbl>
          <w:p w:rsidRPr="009D765D" w:rsidR="000707CC" w:rsidP="000707CC" w:rsidRDefault="000707CC" w14:paraId="4871C9D8" w14:textId="77777777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  <w:tc>
          <w:tcPr>
            <w:tcW w:w="5386" w:type="dxa"/>
            <w:shd w:val="clear" w:color="auto" w:fill="auto"/>
            <w:tcMar/>
          </w:tcPr>
          <w:p w:rsidRPr="009D765D" w:rsidR="000707CC" w:rsidP="000707CC" w:rsidRDefault="000707CC" w14:paraId="505943FA" w14:textId="77777777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</w:tr>
    </w:tbl>
    <w:bookmarkEnd w:id="0"/>
    <w:p w:rsidRPr="00F74766" w:rsidR="000046E1" w:rsidP="000046E1" w:rsidRDefault="00443288" w14:paraId="6D94D32B" w14:textId="6597DC89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>Information; Johanneberg Science Park AB</w:t>
      </w:r>
    </w:p>
    <w:p w:rsidR="00F63F68" w:rsidP="00443288" w:rsidRDefault="00443288" w14:paraId="73A0E717" w14:textId="42C6F40D">
      <w:pPr>
        <w:rPr>
          <w:rFonts w:ascii="Palatino Linotype" w:hAnsi="Palatino Linotype" w:eastAsiaTheme="majorEastAsia"/>
          <w:sz w:val="21"/>
          <w:szCs w:val="21"/>
        </w:rPr>
      </w:pPr>
      <w:r w:rsidRPr="00604611">
        <w:rPr>
          <w:rFonts w:ascii="Palatino Linotype" w:hAnsi="Palatino Linotype" w:eastAsiaTheme="majorEastAsia"/>
          <w:sz w:val="21"/>
          <w:szCs w:val="21"/>
        </w:rPr>
        <w:t>Informationen antecknas.</w:t>
      </w:r>
    </w:p>
    <w:p w:rsidRPr="00604611" w:rsidR="002B5296" w:rsidP="00443288" w:rsidRDefault="00562CC2" w14:paraId="682DC3EF" w14:textId="658D6492">
      <w:pPr>
        <w:rPr>
          <w:rFonts w:ascii="Palatino Linotype" w:hAnsi="Palatino Linotype" w:eastAsiaTheme="majorEastAsia"/>
          <w:sz w:val="21"/>
          <w:szCs w:val="21"/>
        </w:rPr>
      </w:pPr>
      <w:r>
        <w:rPr>
          <w:rFonts w:ascii="Palatino Linotype" w:hAnsi="Palatino Linotype" w:eastAsiaTheme="majorEastAsia"/>
          <w:i/>
          <w:iCs/>
          <w:sz w:val="21"/>
          <w:szCs w:val="21"/>
        </w:rPr>
        <w:t>Upplösning av delägt bolag</w:t>
      </w:r>
      <w:r>
        <w:rPr>
          <w:rFonts w:ascii="Palatino Linotype" w:hAnsi="Palatino Linotype" w:eastAsiaTheme="majorEastAsia"/>
          <w:i/>
          <w:iCs/>
          <w:sz w:val="21"/>
          <w:szCs w:val="21"/>
        </w:rPr>
        <w:br/>
      </w:r>
      <w:r w:rsidR="00604611">
        <w:rPr>
          <w:rFonts w:ascii="Palatino Linotype" w:hAnsi="Palatino Linotype" w:eastAsiaTheme="majorEastAsia"/>
          <w:sz w:val="21"/>
          <w:szCs w:val="21"/>
        </w:rPr>
        <w:t>Johanneberg Science Park AB (</w:t>
      </w:r>
      <w:r w:rsidRPr="002B5296" w:rsidR="001C3239">
        <w:rPr>
          <w:rFonts w:ascii="Palatino Linotype" w:hAnsi="Palatino Linotype" w:eastAsiaTheme="majorEastAsia"/>
          <w:sz w:val="21"/>
          <w:szCs w:val="21"/>
        </w:rPr>
        <w:t>JSP</w:t>
      </w:r>
      <w:r w:rsidR="002F7048">
        <w:rPr>
          <w:rFonts w:ascii="Palatino Linotype" w:hAnsi="Palatino Linotype" w:eastAsiaTheme="majorEastAsia"/>
          <w:sz w:val="21"/>
          <w:szCs w:val="21"/>
        </w:rPr>
        <w:t xml:space="preserve">) </w:t>
      </w:r>
      <w:r w:rsidRPr="002F7048" w:rsidR="002F7048">
        <w:rPr>
          <w:rFonts w:ascii="Palatino Linotype" w:hAnsi="Palatino Linotype" w:eastAsiaTheme="majorEastAsia"/>
          <w:sz w:val="21"/>
          <w:szCs w:val="21"/>
        </w:rPr>
        <w:t>har avvecklats genom frivillig likvidation och upplösts genom beslut vid den sista bolagsstämman den 18 december 2025. Vi inväntar nu endast registrering hos Bolagsverket (inneliggande ärende).</w:t>
      </w:r>
      <w:r w:rsidR="00C05F1F">
        <w:rPr>
          <w:rFonts w:ascii="Palatino Linotype" w:hAnsi="Palatino Linotype" w:eastAsiaTheme="majorEastAsia"/>
          <w:sz w:val="21"/>
          <w:szCs w:val="21"/>
        </w:rPr>
        <w:t xml:space="preserve"> Den </w:t>
      </w:r>
      <w:r w:rsidRPr="002F7048" w:rsidR="002F7048">
        <w:rPr>
          <w:rFonts w:ascii="Palatino Linotype" w:hAnsi="Palatino Linotype" w:eastAsiaTheme="majorEastAsia"/>
          <w:sz w:val="21"/>
          <w:szCs w:val="21"/>
        </w:rPr>
        <w:t>kommer att utvisa att bolaget är upplöst per den dag då stämman hölls.</w:t>
      </w:r>
      <w:r w:rsidR="00C05F1F">
        <w:rPr>
          <w:rFonts w:ascii="Palatino Linotype" w:hAnsi="Palatino Linotype" w:eastAsiaTheme="majorEastAsia"/>
          <w:sz w:val="21"/>
          <w:szCs w:val="21"/>
        </w:rPr>
        <w:br/>
      </w:r>
      <w:r w:rsidR="002F7048">
        <w:rPr>
          <w:rFonts w:ascii="Palatino Linotype" w:hAnsi="Palatino Linotype" w:eastAsiaTheme="majorEastAsia"/>
          <w:sz w:val="21"/>
          <w:szCs w:val="21"/>
        </w:rPr>
        <w:br/>
      </w:r>
      <w:r w:rsidRPr="00604611" w:rsidR="001C3239">
        <w:rPr>
          <w:rFonts w:ascii="Palatino Linotype" w:hAnsi="Palatino Linotype" w:eastAsiaTheme="majorEastAsia"/>
          <w:i/>
          <w:iCs/>
          <w:sz w:val="21"/>
          <w:szCs w:val="21"/>
        </w:rPr>
        <w:t>Bakgrund</w:t>
      </w:r>
      <w:r w:rsidR="00C05F1F">
        <w:rPr>
          <w:rFonts w:ascii="Palatino Linotype" w:hAnsi="Palatino Linotype" w:eastAsiaTheme="majorEastAsia"/>
          <w:i/>
          <w:iCs/>
          <w:sz w:val="21"/>
          <w:szCs w:val="21"/>
        </w:rPr>
        <w:br/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Business Region Göteborg AB (BRG) och Stiftelsen Chalmers Tekniska Högskola (Chalmers) fattade </w:t>
      </w:r>
      <w:r w:rsidR="00A7163B">
        <w:rPr>
          <w:rFonts w:ascii="Palatino Linotype" w:hAnsi="Palatino Linotype" w:eastAsiaTheme="majorEastAsia"/>
          <w:sz w:val="21"/>
          <w:szCs w:val="21"/>
        </w:rPr>
        <w:t>20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23</w:t>
      </w:r>
      <w:r w:rsidR="00A7163B">
        <w:rPr>
          <w:rFonts w:ascii="Palatino Linotype" w:hAnsi="Palatino Linotype" w:eastAsiaTheme="majorEastAsia"/>
          <w:sz w:val="21"/>
          <w:szCs w:val="21"/>
        </w:rPr>
        <w:t>-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02</w:t>
      </w:r>
      <w:r w:rsidR="00A7163B">
        <w:rPr>
          <w:rFonts w:ascii="Palatino Linotype" w:hAnsi="Palatino Linotype" w:eastAsiaTheme="majorEastAsia"/>
          <w:sz w:val="21"/>
          <w:szCs w:val="21"/>
        </w:rPr>
        <w:t>-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27 beslut med förslag om att inleda och genomföra en ordnad avveckling av Johanneberg Science Park AB</w:t>
      </w:r>
      <w:r w:rsidRPr="00604611" w:rsidR="002B5296">
        <w:rPr>
          <w:rFonts w:ascii="Palatino Linotype" w:hAnsi="Palatino Linotype" w:eastAsiaTheme="majorEastAsia"/>
          <w:sz w:val="21"/>
          <w:szCs w:val="21"/>
        </w:rPr>
        <w:t xml:space="preserve"> (JSP). Kommunfullmäktige fattade </w:t>
      </w:r>
      <w:r w:rsidR="00A7163B">
        <w:rPr>
          <w:rFonts w:ascii="Palatino Linotype" w:hAnsi="Palatino Linotype" w:eastAsiaTheme="majorEastAsia"/>
          <w:sz w:val="21"/>
          <w:szCs w:val="21"/>
        </w:rPr>
        <w:t>20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23</w:t>
      </w:r>
      <w:r w:rsidR="00A7163B">
        <w:rPr>
          <w:rFonts w:ascii="Palatino Linotype" w:hAnsi="Palatino Linotype" w:eastAsiaTheme="majorEastAsia"/>
          <w:sz w:val="21"/>
          <w:szCs w:val="21"/>
        </w:rPr>
        <w:t>-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04</w:t>
      </w:r>
      <w:r w:rsidR="00A7163B">
        <w:rPr>
          <w:rFonts w:ascii="Palatino Linotype" w:hAnsi="Palatino Linotype" w:eastAsiaTheme="majorEastAsia"/>
          <w:sz w:val="21"/>
          <w:szCs w:val="21"/>
        </w:rPr>
        <w:t>-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27 beslut i enlighet med BRG:s hemställan och</w:t>
      </w:r>
      <w:r w:rsidRPr="00604611" w:rsidR="002B5296">
        <w:rPr>
          <w:rFonts w:ascii="Palatino Linotype" w:hAnsi="Palatino Linotype" w:eastAsiaTheme="majorEastAsia"/>
          <w:sz w:val="21"/>
          <w:szCs w:val="21"/>
        </w:rPr>
        <w:t xml:space="preserve"> det formella beslutet om avveckling 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fattades på JSP:s bolagsstämma </w:t>
      </w:r>
      <w:r w:rsidR="00A7163B">
        <w:rPr>
          <w:rFonts w:ascii="Palatino Linotype" w:hAnsi="Palatino Linotype" w:eastAsiaTheme="majorEastAsia"/>
          <w:sz w:val="21"/>
          <w:szCs w:val="21"/>
        </w:rPr>
        <w:t>20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23</w:t>
      </w:r>
      <w:r w:rsidR="00A7163B">
        <w:rPr>
          <w:rFonts w:ascii="Palatino Linotype" w:hAnsi="Palatino Linotype" w:eastAsiaTheme="majorEastAsia"/>
          <w:sz w:val="21"/>
          <w:szCs w:val="21"/>
        </w:rPr>
        <w:t>-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06</w:t>
      </w:r>
      <w:r w:rsidR="00A7163B">
        <w:rPr>
          <w:rFonts w:ascii="Palatino Linotype" w:hAnsi="Palatino Linotype" w:eastAsiaTheme="majorEastAsia"/>
          <w:sz w:val="21"/>
          <w:szCs w:val="21"/>
        </w:rPr>
        <w:t>-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30. </w:t>
      </w:r>
      <w:r w:rsidRPr="00604611" w:rsidR="00F615DC">
        <w:rPr>
          <w:rFonts w:ascii="Palatino Linotype" w:hAnsi="Palatino Linotype" w:eastAsiaTheme="majorEastAsia"/>
          <w:sz w:val="21"/>
          <w:szCs w:val="21"/>
        </w:rPr>
        <w:t>BRG och Chalmers var överens om att dela lika på de kostnader som uppstod för avvecklingen.</w:t>
      </w:r>
    </w:p>
    <w:p w:rsidR="00F615DC" w:rsidP="002B5296" w:rsidRDefault="00FC7A03" w14:paraId="04CF4902" w14:textId="77777777">
      <w:pPr>
        <w:rPr>
          <w:rFonts w:ascii="Palatino Linotype" w:hAnsi="Palatino Linotype" w:eastAsiaTheme="majorEastAsia"/>
          <w:sz w:val="21"/>
          <w:szCs w:val="21"/>
        </w:rPr>
      </w:pPr>
      <w:r w:rsidRPr="002B5296">
        <w:rPr>
          <w:rFonts w:ascii="Palatino Linotype" w:hAnsi="Palatino Linotype" w:eastAsiaTheme="majorEastAsia"/>
          <w:sz w:val="21"/>
          <w:szCs w:val="21"/>
        </w:rPr>
        <w:t xml:space="preserve">I ursprungligt beslut, från </w:t>
      </w:r>
      <w:r w:rsidR="00A7163B">
        <w:rPr>
          <w:rFonts w:ascii="Palatino Linotype" w:hAnsi="Palatino Linotype" w:eastAsiaTheme="majorEastAsia"/>
          <w:sz w:val="21"/>
          <w:szCs w:val="21"/>
        </w:rPr>
        <w:t>februari 20</w:t>
      </w:r>
      <w:r w:rsidRPr="002B5296">
        <w:rPr>
          <w:rFonts w:ascii="Palatino Linotype" w:hAnsi="Palatino Linotype" w:eastAsiaTheme="majorEastAsia"/>
          <w:sz w:val="21"/>
          <w:szCs w:val="21"/>
        </w:rPr>
        <w:t xml:space="preserve">23, estimerades ett totalt behov av </w:t>
      </w:r>
      <w:r w:rsidRPr="00604611">
        <w:rPr>
          <w:rFonts w:ascii="Palatino Linotype" w:hAnsi="Palatino Linotype" w:eastAsiaTheme="majorEastAsia"/>
          <w:sz w:val="21"/>
          <w:szCs w:val="21"/>
        </w:rPr>
        <w:t>5 000–7 000</w:t>
      </w:r>
      <w:r w:rsidRPr="002B5296">
        <w:rPr>
          <w:rFonts w:ascii="Palatino Linotype" w:hAnsi="Palatino Linotype" w:eastAsiaTheme="majorEastAsia"/>
          <w:sz w:val="21"/>
          <w:szCs w:val="21"/>
        </w:rPr>
        <w:t xml:space="preserve"> tkr för åren </w:t>
      </w:r>
      <w:r w:rsidRPr="00604611" w:rsidR="001A0037">
        <w:rPr>
          <w:rFonts w:ascii="Palatino Linotype" w:hAnsi="Palatino Linotype" w:eastAsiaTheme="majorEastAsia"/>
          <w:sz w:val="21"/>
          <w:szCs w:val="21"/>
        </w:rPr>
        <w:t>2023–2024</w:t>
      </w:r>
      <w:r w:rsidRPr="002B5296">
        <w:rPr>
          <w:rFonts w:ascii="Palatino Linotype" w:hAnsi="Palatino Linotype" w:eastAsiaTheme="majorEastAsia"/>
          <w:sz w:val="21"/>
          <w:szCs w:val="21"/>
        </w:rPr>
        <w:t xml:space="preserve">. I enlighet med det beslutet skulle först en analys göras över förutsättningarna för hur en ordnad avveckling kunde ske. </w:t>
      </w:r>
    </w:p>
    <w:p w:rsidRPr="002B5296" w:rsidR="00FC7A03" w:rsidP="002B5296" w:rsidRDefault="00FC7A03" w14:paraId="4109DB63" w14:textId="1F8678A6">
      <w:pPr>
        <w:rPr>
          <w:rFonts w:ascii="Palatino Linotype" w:hAnsi="Palatino Linotype" w:eastAsiaTheme="majorEastAsia"/>
          <w:sz w:val="21"/>
          <w:szCs w:val="21"/>
        </w:rPr>
      </w:pPr>
      <w:r w:rsidRPr="002B5296">
        <w:rPr>
          <w:rFonts w:ascii="Palatino Linotype" w:hAnsi="Palatino Linotype" w:eastAsiaTheme="majorEastAsia"/>
          <w:sz w:val="21"/>
          <w:szCs w:val="21"/>
        </w:rPr>
        <w:t>En DD genomfördes och därefter fattades bl.a. beslut om annan tidsram, omförhandling av aktieägaravtalet, ägarförändringar och att den operativa verksamheten skulle avslutas per juni 2024. </w:t>
      </w:r>
    </w:p>
    <w:p w:rsidR="00F615DC" w:rsidP="00FC7A03" w:rsidRDefault="002B5296" w14:paraId="214DE644" w14:textId="77777777">
      <w:pPr>
        <w:rPr>
          <w:rFonts w:ascii="Palatino Linotype" w:hAnsi="Palatino Linotype" w:eastAsiaTheme="majorEastAsia"/>
          <w:sz w:val="21"/>
          <w:szCs w:val="21"/>
        </w:rPr>
      </w:pPr>
      <w:r w:rsidRPr="00604611">
        <w:rPr>
          <w:rFonts w:ascii="Palatino Linotype" w:hAnsi="Palatino Linotype" w:eastAsiaTheme="majorEastAsia"/>
          <w:sz w:val="21"/>
          <w:szCs w:val="21"/>
        </w:rPr>
        <w:t xml:space="preserve">I november 2023 pekade då aktuella stabiliserade underlag en prognos med slutliga avvecklingskostnader som beräknades uppgå till totalt 10 000 – 10 500 tkr vilket inkluderar legala åtaganden i linje med tidigare beslut. </w:t>
      </w:r>
    </w:p>
    <w:p w:rsidR="00F615DC" w:rsidP="00FC7A03" w:rsidRDefault="00B37DF3" w14:paraId="1E1C9EE4" w14:textId="77777777">
      <w:pPr>
        <w:rPr>
          <w:rFonts w:ascii="Palatino Linotype" w:hAnsi="Palatino Linotype" w:eastAsiaTheme="majorEastAsia"/>
          <w:sz w:val="21"/>
          <w:szCs w:val="21"/>
        </w:rPr>
      </w:pPr>
      <w:r w:rsidRPr="00604611">
        <w:rPr>
          <w:rFonts w:ascii="Palatino Linotype" w:hAnsi="Palatino Linotype" w:eastAsiaTheme="majorEastAsia"/>
          <w:sz w:val="21"/>
          <w:szCs w:val="21"/>
        </w:rPr>
        <w:t>Som en</w:t>
      </w:r>
      <w:r w:rsidRPr="00604611" w:rsidR="002B5296">
        <w:rPr>
          <w:rFonts w:ascii="Palatino Linotype" w:hAnsi="Palatino Linotype" w:eastAsiaTheme="majorEastAsia"/>
          <w:sz w:val="21"/>
          <w:szCs w:val="21"/>
        </w:rPr>
        <w:t xml:space="preserve"> del i </w:t>
      </w:r>
      <w:r w:rsidRPr="00604611">
        <w:rPr>
          <w:rFonts w:ascii="Palatino Linotype" w:hAnsi="Palatino Linotype" w:eastAsiaTheme="majorEastAsia"/>
          <w:sz w:val="21"/>
          <w:szCs w:val="21"/>
        </w:rPr>
        <w:t>p</w:t>
      </w:r>
      <w:r w:rsidRPr="00604611" w:rsidR="002B5296">
        <w:rPr>
          <w:rFonts w:ascii="Palatino Linotype" w:hAnsi="Palatino Linotype" w:eastAsiaTheme="majorEastAsia"/>
          <w:sz w:val="21"/>
          <w:szCs w:val="21"/>
        </w:rPr>
        <w:t>rocessen lös</w:t>
      </w:r>
      <w:r w:rsidRPr="00604611">
        <w:rPr>
          <w:rFonts w:ascii="Palatino Linotype" w:hAnsi="Palatino Linotype" w:eastAsiaTheme="majorEastAsia"/>
          <w:sz w:val="21"/>
          <w:szCs w:val="21"/>
        </w:rPr>
        <w:t>tes</w:t>
      </w:r>
      <w:r w:rsidRPr="00604611" w:rsidR="002B5296">
        <w:rPr>
          <w:rFonts w:ascii="Palatino Linotype" w:hAnsi="Palatino Linotype" w:eastAsiaTheme="majorEastAsia"/>
          <w:sz w:val="21"/>
          <w:szCs w:val="21"/>
        </w:rPr>
        <w:t xml:space="preserve"> övriga delägare</w:t>
      </w:r>
      <w:r w:rsidRPr="00604611">
        <w:rPr>
          <w:rFonts w:ascii="Palatino Linotype" w:hAnsi="Palatino Linotype" w:eastAsiaTheme="majorEastAsia"/>
          <w:sz w:val="21"/>
          <w:szCs w:val="21"/>
        </w:rPr>
        <w:t xml:space="preserve"> ut, </w:t>
      </w:r>
      <w:r w:rsidRPr="00604611" w:rsidR="008C7067">
        <w:rPr>
          <w:rFonts w:ascii="Palatino Linotype" w:hAnsi="Palatino Linotype" w:eastAsiaTheme="majorEastAsia"/>
          <w:sz w:val="21"/>
          <w:szCs w:val="21"/>
        </w:rPr>
        <w:t>och överlåtelseavtal tecknades</w:t>
      </w:r>
      <w:r w:rsidRPr="00604611">
        <w:rPr>
          <w:rFonts w:ascii="Palatino Linotype" w:hAnsi="Palatino Linotype" w:eastAsiaTheme="majorEastAsia"/>
          <w:sz w:val="21"/>
          <w:szCs w:val="21"/>
        </w:rPr>
        <w:t xml:space="preserve"> i </w:t>
      </w:r>
      <w:r w:rsidRPr="00604611" w:rsidR="008C7067">
        <w:rPr>
          <w:rFonts w:ascii="Palatino Linotype" w:hAnsi="Palatino Linotype" w:eastAsiaTheme="majorEastAsia"/>
          <w:sz w:val="21"/>
          <w:szCs w:val="21"/>
        </w:rPr>
        <w:t>december 2023</w:t>
      </w:r>
      <w:r w:rsidRPr="00604611">
        <w:rPr>
          <w:rFonts w:ascii="Palatino Linotype" w:hAnsi="Palatino Linotype" w:eastAsiaTheme="majorEastAsia"/>
          <w:sz w:val="21"/>
          <w:szCs w:val="21"/>
        </w:rPr>
        <w:t xml:space="preserve">, vilket gjorde att </w:t>
      </w:r>
      <w:r w:rsidRPr="00604611" w:rsidR="002B5296">
        <w:rPr>
          <w:rFonts w:ascii="Palatino Linotype" w:hAnsi="Palatino Linotype" w:eastAsiaTheme="majorEastAsia"/>
          <w:sz w:val="21"/>
          <w:szCs w:val="21"/>
        </w:rPr>
        <w:t xml:space="preserve">BRG och Chalmers </w:t>
      </w:r>
      <w:r w:rsidRPr="00604611">
        <w:rPr>
          <w:rFonts w:ascii="Palatino Linotype" w:hAnsi="Palatino Linotype" w:eastAsiaTheme="majorEastAsia"/>
          <w:sz w:val="21"/>
          <w:szCs w:val="21"/>
        </w:rPr>
        <w:t xml:space="preserve">till </w:t>
      </w:r>
      <w:r w:rsidRPr="00604611" w:rsidR="00611467">
        <w:rPr>
          <w:rFonts w:ascii="Palatino Linotype" w:hAnsi="Palatino Linotype" w:eastAsiaTheme="majorEastAsia"/>
          <w:sz w:val="21"/>
          <w:szCs w:val="21"/>
        </w:rPr>
        <w:t>kvarvarande d</w:t>
      </w:r>
      <w:r w:rsidRPr="00604611" w:rsidR="002B5296">
        <w:rPr>
          <w:rFonts w:ascii="Palatino Linotype" w:hAnsi="Palatino Linotype" w:eastAsiaTheme="majorEastAsia"/>
          <w:sz w:val="21"/>
          <w:szCs w:val="21"/>
        </w:rPr>
        <w:t xml:space="preserve">elägare. </w:t>
      </w:r>
    </w:p>
    <w:p w:rsidRPr="002B5296" w:rsidR="00FC7A03" w:rsidP="00FC7A03" w:rsidRDefault="002B5296" w14:paraId="4FC4C19A" w14:textId="4B1E57C7">
      <w:pPr>
        <w:rPr>
          <w:rFonts w:ascii="Palatino Linotype" w:hAnsi="Palatino Linotype" w:eastAsiaTheme="majorEastAsia"/>
          <w:sz w:val="21"/>
          <w:szCs w:val="21"/>
        </w:rPr>
      </w:pPr>
      <w:r w:rsidRPr="00604611">
        <w:rPr>
          <w:rFonts w:ascii="Palatino Linotype" w:hAnsi="Palatino Linotype" w:eastAsiaTheme="majorEastAsia"/>
          <w:sz w:val="21"/>
          <w:szCs w:val="21"/>
        </w:rPr>
        <w:t xml:space="preserve">All 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 xml:space="preserve">verksamhet </w:t>
      </w:r>
      <w:r w:rsidRPr="00604611">
        <w:rPr>
          <w:rFonts w:ascii="Palatino Linotype" w:hAnsi="Palatino Linotype" w:eastAsiaTheme="majorEastAsia"/>
          <w:sz w:val="21"/>
          <w:szCs w:val="21"/>
        </w:rPr>
        <w:t xml:space="preserve">upphörde </w:t>
      </w:r>
      <w:r w:rsidR="00A7163B">
        <w:rPr>
          <w:rFonts w:ascii="Palatino Linotype" w:hAnsi="Palatino Linotype" w:eastAsiaTheme="majorEastAsia"/>
          <w:sz w:val="21"/>
          <w:szCs w:val="21"/>
        </w:rPr>
        <w:t>20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24</w:t>
      </w:r>
      <w:r w:rsidR="00A7163B">
        <w:rPr>
          <w:rFonts w:ascii="Palatino Linotype" w:hAnsi="Palatino Linotype" w:eastAsiaTheme="majorEastAsia"/>
          <w:sz w:val="21"/>
          <w:szCs w:val="21"/>
        </w:rPr>
        <w:t>-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06</w:t>
      </w:r>
      <w:r w:rsidR="00A7163B">
        <w:rPr>
          <w:rFonts w:ascii="Palatino Linotype" w:hAnsi="Palatino Linotype" w:eastAsiaTheme="majorEastAsia"/>
          <w:sz w:val="21"/>
          <w:szCs w:val="21"/>
        </w:rPr>
        <w:t>-</w:t>
      </w:r>
      <w:r w:rsidRPr="00604611" w:rsidR="00443288">
        <w:rPr>
          <w:rFonts w:ascii="Palatino Linotype" w:hAnsi="Palatino Linotype" w:eastAsiaTheme="majorEastAsia"/>
          <w:sz w:val="21"/>
          <w:szCs w:val="21"/>
        </w:rPr>
        <w:t>30</w:t>
      </w:r>
      <w:r w:rsidRPr="00604611">
        <w:rPr>
          <w:rFonts w:ascii="Palatino Linotype" w:hAnsi="Palatino Linotype" w:eastAsiaTheme="majorEastAsia"/>
          <w:sz w:val="21"/>
          <w:szCs w:val="21"/>
        </w:rPr>
        <w:t xml:space="preserve"> då </w:t>
      </w:r>
      <w:r w:rsidRPr="00604611" w:rsidR="00DE000F">
        <w:rPr>
          <w:rFonts w:ascii="Palatino Linotype" w:hAnsi="Palatino Linotype" w:eastAsiaTheme="majorEastAsia"/>
          <w:sz w:val="21"/>
          <w:szCs w:val="21"/>
        </w:rPr>
        <w:t xml:space="preserve">även </w:t>
      </w:r>
      <w:r w:rsidRPr="00604611" w:rsidR="0090227D">
        <w:rPr>
          <w:rFonts w:ascii="Palatino Linotype" w:hAnsi="Palatino Linotype" w:eastAsiaTheme="majorEastAsia"/>
          <w:sz w:val="21"/>
          <w:szCs w:val="21"/>
        </w:rPr>
        <w:t xml:space="preserve">all kvarvarande </w:t>
      </w:r>
      <w:r w:rsidRPr="00604611">
        <w:rPr>
          <w:rFonts w:ascii="Palatino Linotype" w:hAnsi="Palatino Linotype" w:eastAsiaTheme="majorEastAsia"/>
          <w:sz w:val="21"/>
          <w:szCs w:val="21"/>
        </w:rPr>
        <w:t xml:space="preserve">personal lämnade bolaget. </w:t>
      </w:r>
      <w:r w:rsidRPr="002B5296" w:rsidR="00FC7A03">
        <w:rPr>
          <w:rFonts w:ascii="Palatino Linotype" w:hAnsi="Palatino Linotype" w:eastAsiaTheme="majorEastAsia"/>
          <w:sz w:val="21"/>
          <w:szCs w:val="21"/>
        </w:rPr>
        <w:t xml:space="preserve">Efter </w:t>
      </w:r>
      <w:r w:rsidRPr="00604611" w:rsidR="008D6C58">
        <w:rPr>
          <w:rFonts w:ascii="Palatino Linotype" w:hAnsi="Palatino Linotype" w:eastAsiaTheme="majorEastAsia"/>
          <w:sz w:val="21"/>
          <w:szCs w:val="21"/>
        </w:rPr>
        <w:t>detta</w:t>
      </w:r>
      <w:r w:rsidRPr="002B5296" w:rsidR="00FC7A03">
        <w:rPr>
          <w:rFonts w:ascii="Palatino Linotype" w:hAnsi="Palatino Linotype" w:eastAsiaTheme="majorEastAsia"/>
          <w:sz w:val="21"/>
          <w:szCs w:val="21"/>
        </w:rPr>
        <w:t xml:space="preserve"> </w:t>
      </w:r>
      <w:r w:rsidR="00490253">
        <w:rPr>
          <w:rFonts w:ascii="Palatino Linotype" w:hAnsi="Palatino Linotype" w:eastAsiaTheme="majorEastAsia"/>
          <w:sz w:val="21"/>
          <w:szCs w:val="21"/>
        </w:rPr>
        <w:t xml:space="preserve">hanterades </w:t>
      </w:r>
      <w:r w:rsidRPr="002B5296" w:rsidR="00FC7A03">
        <w:rPr>
          <w:rFonts w:ascii="Palatino Linotype" w:hAnsi="Palatino Linotype" w:eastAsiaTheme="majorEastAsia"/>
          <w:sz w:val="21"/>
          <w:szCs w:val="21"/>
        </w:rPr>
        <w:t xml:space="preserve">avvecklingen av BRG och Chalmers. </w:t>
      </w:r>
    </w:p>
    <w:p w:rsidRPr="00604611" w:rsidR="00A24E5C" w:rsidP="00174064" w:rsidRDefault="002B5296" w14:paraId="3D459002" w14:textId="33693CE2">
      <w:pPr>
        <w:rPr>
          <w:rFonts w:ascii="Palatino Linotype" w:hAnsi="Palatino Linotype" w:eastAsiaTheme="majorEastAsia"/>
          <w:i/>
          <w:iCs/>
          <w:sz w:val="21"/>
          <w:szCs w:val="21"/>
        </w:rPr>
      </w:pPr>
      <w:r w:rsidRPr="00604611">
        <w:rPr>
          <w:rFonts w:ascii="Palatino Linotype" w:hAnsi="Palatino Linotype" w:eastAsiaTheme="majorEastAsia"/>
          <w:i/>
          <w:iCs/>
          <w:sz w:val="21"/>
          <w:szCs w:val="21"/>
        </w:rPr>
        <w:t>Likvidationsprocessen</w:t>
      </w:r>
      <w:r w:rsidR="00637964">
        <w:rPr>
          <w:rFonts w:ascii="Palatino Linotype" w:hAnsi="Palatino Linotype" w:eastAsiaTheme="majorEastAsia"/>
          <w:i/>
          <w:iCs/>
          <w:sz w:val="21"/>
          <w:szCs w:val="21"/>
        </w:rPr>
        <w:br/>
      </w:r>
      <w:r w:rsidRPr="00604611" w:rsidR="00EB5336">
        <w:rPr>
          <w:rFonts w:ascii="Palatino Linotype" w:hAnsi="Palatino Linotype" w:eastAsiaTheme="majorEastAsia"/>
          <w:sz w:val="21"/>
          <w:szCs w:val="21"/>
        </w:rPr>
        <w:t>JSP beslutade på stämma den 2</w:t>
      </w:r>
      <w:r w:rsidR="00A7163B">
        <w:rPr>
          <w:rFonts w:ascii="Palatino Linotype" w:hAnsi="Palatino Linotype" w:eastAsiaTheme="majorEastAsia"/>
          <w:sz w:val="21"/>
          <w:szCs w:val="21"/>
        </w:rPr>
        <w:t>02</w:t>
      </w:r>
      <w:r w:rsidRPr="00604611" w:rsidR="00EB5336">
        <w:rPr>
          <w:rFonts w:ascii="Palatino Linotype" w:hAnsi="Palatino Linotype" w:eastAsiaTheme="majorEastAsia"/>
          <w:sz w:val="21"/>
          <w:szCs w:val="21"/>
        </w:rPr>
        <w:t>5</w:t>
      </w:r>
      <w:r w:rsidR="00A7163B">
        <w:rPr>
          <w:rFonts w:ascii="Palatino Linotype" w:hAnsi="Palatino Linotype" w:eastAsiaTheme="majorEastAsia"/>
          <w:sz w:val="21"/>
          <w:szCs w:val="21"/>
        </w:rPr>
        <w:t>-</w:t>
      </w:r>
      <w:r w:rsidRPr="00604611" w:rsidR="00EB5336">
        <w:rPr>
          <w:rFonts w:ascii="Palatino Linotype" w:hAnsi="Palatino Linotype" w:eastAsiaTheme="majorEastAsia"/>
          <w:sz w:val="21"/>
          <w:szCs w:val="21"/>
        </w:rPr>
        <w:t>01</w:t>
      </w:r>
      <w:r w:rsidR="00A7163B">
        <w:rPr>
          <w:rFonts w:ascii="Palatino Linotype" w:hAnsi="Palatino Linotype" w:eastAsiaTheme="majorEastAsia"/>
          <w:sz w:val="21"/>
          <w:szCs w:val="21"/>
        </w:rPr>
        <w:t>-</w:t>
      </w:r>
      <w:r w:rsidRPr="00604611" w:rsidR="00EB5336">
        <w:rPr>
          <w:rFonts w:ascii="Palatino Linotype" w:hAnsi="Palatino Linotype" w:eastAsiaTheme="majorEastAsia"/>
          <w:sz w:val="21"/>
          <w:szCs w:val="21"/>
        </w:rPr>
        <w:t>30 att bolaget skulle träda i frivillig likvidation.</w:t>
      </w:r>
      <w:r w:rsidRPr="00604611" w:rsidR="00D961B5">
        <w:rPr>
          <w:rFonts w:ascii="Palatino Linotype" w:hAnsi="Palatino Linotype" w:eastAsiaTheme="majorEastAsia"/>
          <w:sz w:val="21"/>
          <w:szCs w:val="21"/>
        </w:rPr>
        <w:t xml:space="preserve"> Enligt beslut </w:t>
      </w:r>
      <w:r w:rsidR="00A7163B">
        <w:rPr>
          <w:rFonts w:ascii="Palatino Linotype" w:hAnsi="Palatino Linotype" w:eastAsiaTheme="majorEastAsia"/>
          <w:sz w:val="21"/>
          <w:szCs w:val="21"/>
        </w:rPr>
        <w:t>20</w:t>
      </w:r>
      <w:r w:rsidRPr="00604611" w:rsidR="00D961B5">
        <w:rPr>
          <w:rFonts w:ascii="Palatino Linotype" w:hAnsi="Palatino Linotype" w:eastAsiaTheme="majorEastAsia"/>
          <w:sz w:val="21"/>
          <w:szCs w:val="21"/>
        </w:rPr>
        <w:t>25</w:t>
      </w:r>
      <w:r w:rsidR="00A7163B">
        <w:rPr>
          <w:rFonts w:ascii="Palatino Linotype" w:hAnsi="Palatino Linotype" w:eastAsiaTheme="majorEastAsia"/>
          <w:sz w:val="21"/>
          <w:szCs w:val="21"/>
        </w:rPr>
        <w:t>-</w:t>
      </w:r>
      <w:r w:rsidRPr="00604611" w:rsidR="00D961B5">
        <w:rPr>
          <w:rFonts w:ascii="Palatino Linotype" w:hAnsi="Palatino Linotype" w:eastAsiaTheme="majorEastAsia"/>
          <w:sz w:val="21"/>
          <w:szCs w:val="21"/>
        </w:rPr>
        <w:t>02</w:t>
      </w:r>
      <w:r w:rsidR="00A7163B">
        <w:rPr>
          <w:rFonts w:ascii="Palatino Linotype" w:hAnsi="Palatino Linotype" w:eastAsiaTheme="majorEastAsia"/>
          <w:sz w:val="21"/>
          <w:szCs w:val="21"/>
        </w:rPr>
        <w:t>-</w:t>
      </w:r>
      <w:r w:rsidRPr="00604611" w:rsidR="00D961B5">
        <w:rPr>
          <w:rFonts w:ascii="Palatino Linotype" w:hAnsi="Palatino Linotype" w:eastAsiaTheme="majorEastAsia"/>
          <w:sz w:val="21"/>
          <w:szCs w:val="21"/>
        </w:rPr>
        <w:t xml:space="preserve">18 förordnade Bolagsverket en extern likvidator i enlighet med styrelsens beslut. </w:t>
      </w:r>
      <w:r w:rsidRPr="00604611" w:rsidR="00A24E5C">
        <w:rPr>
          <w:rFonts w:ascii="Palatino Linotype" w:hAnsi="Palatino Linotype" w:eastAsiaTheme="majorEastAsia"/>
          <w:sz w:val="21"/>
          <w:szCs w:val="21"/>
        </w:rPr>
        <w:t>Likvidatorn har tillsett att samtliga utestående skulder har betalats</w:t>
      </w:r>
      <w:r w:rsidRPr="00604611" w:rsidR="008E79D5">
        <w:rPr>
          <w:rFonts w:ascii="Palatino Linotype" w:hAnsi="Palatino Linotype" w:eastAsiaTheme="majorEastAsia"/>
          <w:sz w:val="21"/>
          <w:szCs w:val="21"/>
        </w:rPr>
        <w:t xml:space="preserve"> och reglerat det som uppkommit vid avveckling av pågående avtalsrelationer. Inga okända borgenärer</w:t>
      </w:r>
      <w:r w:rsidR="00544F42">
        <w:rPr>
          <w:rFonts w:ascii="Palatino Linotype" w:hAnsi="Palatino Linotype" w:eastAsiaTheme="majorEastAsia"/>
          <w:sz w:val="21"/>
          <w:szCs w:val="21"/>
        </w:rPr>
        <w:t xml:space="preserve"> </w:t>
      </w:r>
      <w:r w:rsidRPr="00604611" w:rsidR="008E79D5">
        <w:rPr>
          <w:rFonts w:ascii="Palatino Linotype" w:hAnsi="Palatino Linotype" w:eastAsiaTheme="majorEastAsia"/>
          <w:sz w:val="21"/>
          <w:szCs w:val="21"/>
        </w:rPr>
        <w:t xml:space="preserve">har anmält sig. </w:t>
      </w:r>
      <w:r w:rsidRPr="002B5296" w:rsidR="00A24E5C">
        <w:rPr>
          <w:rFonts w:ascii="Palatino Linotype" w:hAnsi="Palatino Linotype" w:eastAsiaTheme="majorEastAsia"/>
          <w:sz w:val="21"/>
          <w:szCs w:val="21"/>
        </w:rPr>
        <w:t>Det kvarvarande hyreskontraktet som löpte till augusti 202</w:t>
      </w:r>
      <w:r w:rsidRPr="00604611" w:rsidR="00A24E5C">
        <w:rPr>
          <w:rFonts w:ascii="Palatino Linotype" w:hAnsi="Palatino Linotype" w:eastAsiaTheme="majorEastAsia"/>
          <w:sz w:val="21"/>
          <w:szCs w:val="21"/>
        </w:rPr>
        <w:t>6</w:t>
      </w:r>
      <w:r w:rsidRPr="002B5296" w:rsidR="00A24E5C">
        <w:rPr>
          <w:rFonts w:ascii="Palatino Linotype" w:hAnsi="Palatino Linotype" w:eastAsiaTheme="majorEastAsia"/>
          <w:sz w:val="21"/>
          <w:szCs w:val="21"/>
        </w:rPr>
        <w:t>, förhandlades om och avslutades i förtid</w:t>
      </w:r>
      <w:r w:rsidRPr="00604611" w:rsidR="00A24E5C">
        <w:rPr>
          <w:rFonts w:ascii="Palatino Linotype" w:hAnsi="Palatino Linotype" w:eastAsiaTheme="majorEastAsia"/>
          <w:sz w:val="21"/>
          <w:szCs w:val="21"/>
        </w:rPr>
        <w:t xml:space="preserve"> genom ett särskilt upphörandeavtal</w:t>
      </w:r>
      <w:r w:rsidRPr="002B5296" w:rsidR="00A24E5C">
        <w:rPr>
          <w:rFonts w:ascii="Palatino Linotype" w:hAnsi="Palatino Linotype" w:eastAsiaTheme="majorEastAsia"/>
          <w:sz w:val="21"/>
          <w:szCs w:val="21"/>
        </w:rPr>
        <w:t xml:space="preserve">. </w:t>
      </w:r>
    </w:p>
    <w:p w:rsidR="00C26589" w:rsidP="002B5296" w:rsidRDefault="001C3239" w14:paraId="12A0F0C5" w14:textId="15F79E0C">
      <w:pPr>
        <w:rPr>
          <w:rFonts w:ascii="Palatino Linotype" w:hAnsi="Palatino Linotype" w:eastAsiaTheme="majorEastAsia"/>
          <w:sz w:val="21"/>
          <w:szCs w:val="21"/>
        </w:rPr>
      </w:pPr>
      <w:r w:rsidRPr="00604611">
        <w:rPr>
          <w:rFonts w:ascii="Palatino Linotype" w:hAnsi="Palatino Linotype" w:eastAsiaTheme="majorEastAsia"/>
          <w:sz w:val="21"/>
          <w:szCs w:val="21"/>
        </w:rPr>
        <w:t>En slutredovisning lades fram för en sista bolagsstämma 18 december 2025</w:t>
      </w:r>
      <w:r w:rsidRPr="00604611" w:rsidR="00974E64">
        <w:rPr>
          <w:rFonts w:ascii="Palatino Linotype" w:hAnsi="Palatino Linotype" w:eastAsiaTheme="majorEastAsia"/>
          <w:sz w:val="21"/>
          <w:szCs w:val="21"/>
        </w:rPr>
        <w:t xml:space="preserve"> som medfört att en </w:t>
      </w:r>
      <w:r w:rsidRPr="002B5296" w:rsidR="008D6C58">
        <w:rPr>
          <w:rFonts w:ascii="Palatino Linotype" w:hAnsi="Palatino Linotype" w:eastAsiaTheme="majorEastAsia"/>
          <w:sz w:val="21"/>
          <w:szCs w:val="21"/>
        </w:rPr>
        <w:t xml:space="preserve">slutlikvid på 1 356 </w:t>
      </w:r>
      <w:r w:rsidRPr="00604611" w:rsidR="00DB544F">
        <w:rPr>
          <w:rFonts w:ascii="Palatino Linotype" w:hAnsi="Palatino Linotype" w:eastAsiaTheme="majorEastAsia"/>
          <w:sz w:val="21"/>
          <w:szCs w:val="21"/>
        </w:rPr>
        <w:t>t</w:t>
      </w:r>
      <w:r w:rsidRPr="002B5296" w:rsidR="008D6C58">
        <w:rPr>
          <w:rFonts w:ascii="Palatino Linotype" w:hAnsi="Palatino Linotype" w:eastAsiaTheme="majorEastAsia"/>
          <w:sz w:val="21"/>
          <w:szCs w:val="21"/>
        </w:rPr>
        <w:t>kr har utbetalats </w:t>
      </w:r>
      <w:r w:rsidRPr="00604611" w:rsidR="0031106B">
        <w:rPr>
          <w:rFonts w:ascii="Palatino Linotype" w:hAnsi="Palatino Linotype" w:eastAsiaTheme="majorEastAsia"/>
          <w:sz w:val="21"/>
          <w:szCs w:val="21"/>
        </w:rPr>
        <w:t xml:space="preserve">vardera </w:t>
      </w:r>
      <w:r w:rsidRPr="002B5296" w:rsidR="008D6C58">
        <w:rPr>
          <w:rFonts w:ascii="Palatino Linotype" w:hAnsi="Palatino Linotype" w:eastAsiaTheme="majorEastAsia"/>
          <w:sz w:val="21"/>
          <w:szCs w:val="21"/>
        </w:rPr>
        <w:t>till BRG</w:t>
      </w:r>
      <w:r w:rsidRPr="00604611" w:rsidR="0031106B">
        <w:rPr>
          <w:rFonts w:ascii="Palatino Linotype" w:hAnsi="Palatino Linotype" w:eastAsiaTheme="majorEastAsia"/>
          <w:sz w:val="21"/>
          <w:szCs w:val="21"/>
        </w:rPr>
        <w:t xml:space="preserve"> och Chalmers. </w:t>
      </w:r>
    </w:p>
    <w:p w:rsidRPr="00604611" w:rsidR="006A6BEC" w:rsidP="002B5296" w:rsidRDefault="008E79D5" w14:paraId="50D434E5" w14:textId="5B151CE4">
      <w:pPr>
        <w:rPr>
          <w:rFonts w:ascii="Palatino Linotype" w:hAnsi="Palatino Linotype" w:eastAsiaTheme="majorEastAsia"/>
          <w:sz w:val="21"/>
          <w:szCs w:val="21"/>
        </w:rPr>
      </w:pPr>
      <w:r w:rsidRPr="00604611">
        <w:rPr>
          <w:rFonts w:ascii="Palatino Linotype" w:hAnsi="Palatino Linotype" w:eastAsiaTheme="majorEastAsia"/>
          <w:i/>
          <w:iCs/>
          <w:sz w:val="21"/>
          <w:szCs w:val="21"/>
        </w:rPr>
        <w:t>Slutlig</w:t>
      </w:r>
      <w:r w:rsidR="00556F1A">
        <w:rPr>
          <w:rFonts w:ascii="Palatino Linotype" w:hAnsi="Palatino Linotype" w:eastAsiaTheme="majorEastAsia"/>
          <w:i/>
          <w:iCs/>
          <w:sz w:val="21"/>
          <w:szCs w:val="21"/>
        </w:rPr>
        <w:t xml:space="preserve"> avvecklings</w:t>
      </w:r>
      <w:r w:rsidRPr="00604611">
        <w:rPr>
          <w:rFonts w:ascii="Palatino Linotype" w:hAnsi="Palatino Linotype" w:eastAsiaTheme="majorEastAsia"/>
          <w:i/>
          <w:iCs/>
          <w:sz w:val="21"/>
          <w:szCs w:val="21"/>
        </w:rPr>
        <w:t>kostnad</w:t>
      </w:r>
      <w:r w:rsidR="00637964">
        <w:rPr>
          <w:rFonts w:ascii="Palatino Linotype" w:hAnsi="Palatino Linotype" w:eastAsiaTheme="majorEastAsia"/>
          <w:i/>
          <w:iCs/>
          <w:sz w:val="21"/>
          <w:szCs w:val="21"/>
        </w:rPr>
        <w:br/>
      </w:r>
      <w:r w:rsidR="004725CB">
        <w:rPr>
          <w:rFonts w:ascii="Palatino Linotype" w:hAnsi="Palatino Linotype" w:eastAsiaTheme="majorEastAsia"/>
          <w:sz w:val="21"/>
          <w:szCs w:val="21"/>
        </w:rPr>
        <w:t>BRG och Chalmer</w:t>
      </w:r>
      <w:r w:rsidR="0091498D">
        <w:rPr>
          <w:rFonts w:ascii="Palatino Linotype" w:hAnsi="Palatino Linotype" w:eastAsiaTheme="majorEastAsia"/>
          <w:sz w:val="21"/>
          <w:szCs w:val="21"/>
        </w:rPr>
        <w:t>s</w:t>
      </w:r>
      <w:r w:rsidR="004725CB">
        <w:rPr>
          <w:rFonts w:ascii="Palatino Linotype" w:hAnsi="Palatino Linotype" w:eastAsiaTheme="majorEastAsia"/>
          <w:sz w:val="21"/>
          <w:szCs w:val="21"/>
        </w:rPr>
        <w:t xml:space="preserve"> har vardera lämnat </w:t>
      </w:r>
      <w:r w:rsidR="0057066D">
        <w:rPr>
          <w:rFonts w:ascii="Palatino Linotype" w:hAnsi="Palatino Linotype" w:eastAsiaTheme="majorEastAsia"/>
          <w:sz w:val="21"/>
          <w:szCs w:val="21"/>
        </w:rPr>
        <w:t xml:space="preserve">aktieägartillskott om 4 136 tkr i samband med avvecklingen. </w:t>
      </w:r>
      <w:r w:rsidR="00436889">
        <w:rPr>
          <w:rFonts w:ascii="Palatino Linotype" w:hAnsi="Palatino Linotype" w:eastAsiaTheme="majorEastAsia"/>
          <w:sz w:val="21"/>
          <w:szCs w:val="21"/>
        </w:rPr>
        <w:t xml:space="preserve">Den slutliga </w:t>
      </w:r>
      <w:r w:rsidR="0091498D">
        <w:rPr>
          <w:rFonts w:ascii="Palatino Linotype" w:hAnsi="Palatino Linotype" w:eastAsiaTheme="majorEastAsia"/>
          <w:sz w:val="21"/>
          <w:szCs w:val="21"/>
        </w:rPr>
        <w:t>faktiska avvecklings</w:t>
      </w:r>
      <w:r w:rsidR="00436889">
        <w:rPr>
          <w:rFonts w:ascii="Palatino Linotype" w:hAnsi="Palatino Linotype" w:eastAsiaTheme="majorEastAsia"/>
          <w:sz w:val="21"/>
          <w:szCs w:val="21"/>
        </w:rPr>
        <w:t xml:space="preserve">kostnaden uppgår </w:t>
      </w:r>
      <w:r w:rsidR="00201397">
        <w:rPr>
          <w:rFonts w:ascii="Palatino Linotype" w:hAnsi="Palatino Linotype" w:eastAsiaTheme="majorEastAsia"/>
          <w:sz w:val="21"/>
          <w:szCs w:val="21"/>
        </w:rPr>
        <w:t xml:space="preserve">således </w:t>
      </w:r>
      <w:r w:rsidR="00436889">
        <w:rPr>
          <w:rFonts w:ascii="Palatino Linotype" w:hAnsi="Palatino Linotype" w:eastAsiaTheme="majorEastAsia"/>
          <w:sz w:val="21"/>
          <w:szCs w:val="21"/>
        </w:rPr>
        <w:t>till 8</w:t>
      </w:r>
      <w:r w:rsidRPr="00604611" w:rsidR="00FE131E">
        <w:rPr>
          <w:rFonts w:ascii="Palatino Linotype" w:hAnsi="Palatino Linotype" w:eastAsiaTheme="majorEastAsia"/>
          <w:sz w:val="21"/>
          <w:szCs w:val="21"/>
        </w:rPr>
        <w:t> 272 tkr, vilket blev lägre än den senaste uppskattningen.</w:t>
      </w:r>
      <w:r w:rsidR="00FE131E">
        <w:rPr>
          <w:rFonts w:ascii="Palatino Linotype" w:hAnsi="Palatino Linotype" w:eastAsiaTheme="majorEastAsia"/>
          <w:sz w:val="21"/>
          <w:szCs w:val="21"/>
        </w:rPr>
        <w:t xml:space="preserve"> </w:t>
      </w:r>
      <w:r w:rsidRPr="00604611" w:rsidR="00FE131E">
        <w:rPr>
          <w:rFonts w:ascii="Palatino Linotype" w:hAnsi="Palatino Linotype" w:eastAsiaTheme="majorEastAsia"/>
          <w:sz w:val="21"/>
          <w:szCs w:val="21"/>
        </w:rPr>
        <w:t>Initialt bedömdes att avvecklingen skulle kräva 5 000–7 000 tkr, där behovet senare justerades upp till 10 000–10 500 tkr. Positiva effekter uppstod när hyreskontraktet avslutades i förtid, vilket möjliggjorde återföring av bokförda avsättningar, samt tidigare överenskommelse med övriga delägare som tillförde extra kapitaltillskott.</w:t>
      </w:r>
    </w:p>
    <w:tbl>
      <w:tblPr>
        <w:tblStyle w:val="Tabellrutnt"/>
        <w:tblW w:w="7366" w:type="dxa"/>
        <w:tblLook w:val="04A0" w:firstRow="1" w:lastRow="0" w:firstColumn="1" w:lastColumn="0" w:noHBand="0" w:noVBand="1"/>
      </w:tblPr>
      <w:tblGrid>
        <w:gridCol w:w="4106"/>
        <w:gridCol w:w="1701"/>
        <w:gridCol w:w="1559"/>
      </w:tblGrid>
      <w:tr w:rsidRPr="00604611" w:rsidR="00CA6A31" w:rsidTr="00ED1E92" w14:paraId="39E3B5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6" w:type="dxa"/>
          </w:tcPr>
          <w:p w:rsidRPr="00604611" w:rsidR="00CA6A31" w:rsidP="00761AC0" w:rsidRDefault="00CA6A31" w14:paraId="3158BE4E" w14:textId="77777777">
            <w:pPr>
              <w:rPr>
                <w:rFonts w:ascii="Palatino Linotype" w:hAnsi="Palatino Linotype" w:eastAsiaTheme="majorEastAsia"/>
                <w:sz w:val="18"/>
                <w:szCs w:val="18"/>
              </w:rPr>
            </w:pPr>
            <w:r w:rsidRPr="00604611">
              <w:rPr>
                <w:rFonts w:ascii="Palatino Linotype" w:hAnsi="Palatino Linotype" w:eastAsiaTheme="majorEastAsia"/>
                <w:sz w:val="18"/>
                <w:szCs w:val="18"/>
              </w:rPr>
              <w:t>Åtgärd</w:t>
            </w:r>
          </w:p>
        </w:tc>
        <w:tc>
          <w:tcPr>
            <w:tcW w:w="1701" w:type="dxa"/>
          </w:tcPr>
          <w:p w:rsidRPr="00604611" w:rsidR="00CA6A31" w:rsidP="00761AC0" w:rsidRDefault="00F279BF" w14:paraId="348979D9" w14:textId="765A66FA">
            <w:pPr>
              <w:rPr>
                <w:rFonts w:ascii="Palatino Linotype" w:hAnsi="Palatino Linotype" w:eastAsiaTheme="majorEastAsia"/>
                <w:sz w:val="18"/>
                <w:szCs w:val="18"/>
              </w:rPr>
            </w:pPr>
            <w:r w:rsidRPr="00604611">
              <w:rPr>
                <w:rFonts w:ascii="Palatino Linotype" w:hAnsi="Palatino Linotype" w:eastAsiaTheme="majorEastAsia"/>
                <w:sz w:val="18"/>
                <w:szCs w:val="18"/>
              </w:rPr>
              <w:t xml:space="preserve">Beslut, max </w:t>
            </w:r>
            <w:r w:rsidRPr="00604611" w:rsidR="00CA6A31">
              <w:rPr>
                <w:rFonts w:ascii="Palatino Linotype" w:hAnsi="Palatino Linotype" w:eastAsiaTheme="majorEastAsia"/>
                <w:sz w:val="18"/>
                <w:szCs w:val="18"/>
              </w:rPr>
              <w:t>(tkr)</w:t>
            </w:r>
          </w:p>
        </w:tc>
        <w:tc>
          <w:tcPr>
            <w:tcW w:w="1559" w:type="dxa"/>
          </w:tcPr>
          <w:p w:rsidRPr="00604611" w:rsidR="00CA6A31" w:rsidP="00761AC0" w:rsidRDefault="00F279BF" w14:paraId="19144690" w14:textId="6353F840">
            <w:pPr>
              <w:rPr>
                <w:rFonts w:ascii="Palatino Linotype" w:hAnsi="Palatino Linotype" w:eastAsiaTheme="majorEastAsia"/>
                <w:sz w:val="18"/>
                <w:szCs w:val="18"/>
              </w:rPr>
            </w:pPr>
            <w:r w:rsidRPr="00604611">
              <w:rPr>
                <w:rFonts w:ascii="Palatino Linotype" w:hAnsi="Palatino Linotype" w:eastAsiaTheme="majorEastAsia"/>
                <w:sz w:val="18"/>
                <w:szCs w:val="18"/>
              </w:rPr>
              <w:t>Utfall</w:t>
            </w:r>
            <w:r w:rsidRPr="00604611" w:rsidR="00CA6A31">
              <w:rPr>
                <w:rFonts w:ascii="Palatino Linotype" w:hAnsi="Palatino Linotype" w:eastAsiaTheme="majorEastAsia"/>
                <w:sz w:val="18"/>
                <w:szCs w:val="18"/>
              </w:rPr>
              <w:t xml:space="preserve"> (tkr)</w:t>
            </w:r>
          </w:p>
        </w:tc>
      </w:tr>
      <w:tr w:rsidRPr="00604611" w:rsidR="00CA6A31" w:rsidTr="00ED1E92" w14:paraId="0FA2DE90" w14:textId="77777777">
        <w:tc>
          <w:tcPr>
            <w:tcW w:w="4106" w:type="dxa"/>
          </w:tcPr>
          <w:p w:rsidRPr="00604611" w:rsidR="00CA6A31" w:rsidP="00761AC0" w:rsidRDefault="009B54C2" w14:paraId="6FC1D80D" w14:textId="1EE2815B">
            <w:pPr>
              <w:rPr>
                <w:rFonts w:ascii="Palatino Linotype" w:hAnsi="Palatino Linotype" w:eastAsiaTheme="majorEastAsia"/>
                <w:sz w:val="18"/>
                <w:szCs w:val="18"/>
              </w:rPr>
            </w:pPr>
            <w:r w:rsidRPr="00604611">
              <w:rPr>
                <w:rFonts w:ascii="Palatino Linotype" w:hAnsi="Palatino Linotype" w:eastAsiaTheme="majorEastAsia"/>
                <w:sz w:val="18"/>
                <w:szCs w:val="18"/>
              </w:rPr>
              <w:t>BRG</w:t>
            </w:r>
            <w:r w:rsidRPr="00604611" w:rsidR="00CA6A31">
              <w:rPr>
                <w:rFonts w:ascii="Palatino Linotype" w:hAnsi="Palatino Linotype" w:eastAsiaTheme="majorEastAsia"/>
                <w:sz w:val="18"/>
                <w:szCs w:val="18"/>
              </w:rPr>
              <w:t xml:space="preserve"> – möjlighet till kapitaltillskott</w:t>
            </w:r>
          </w:p>
        </w:tc>
        <w:tc>
          <w:tcPr>
            <w:tcW w:w="1701" w:type="dxa"/>
          </w:tcPr>
          <w:p w:rsidRPr="00604611" w:rsidR="00CA6A31" w:rsidP="00761AC0" w:rsidRDefault="00CA6A31" w14:paraId="7A8A6A79" w14:textId="77777777">
            <w:pPr>
              <w:rPr>
                <w:rFonts w:ascii="Palatino Linotype" w:hAnsi="Palatino Linotype" w:eastAsiaTheme="majorEastAsia"/>
                <w:sz w:val="18"/>
                <w:szCs w:val="18"/>
              </w:rPr>
            </w:pPr>
            <w:r w:rsidRPr="00604611">
              <w:rPr>
                <w:rFonts w:ascii="Palatino Linotype" w:hAnsi="Palatino Linotype" w:eastAsiaTheme="majorEastAsia"/>
                <w:sz w:val="18"/>
                <w:szCs w:val="18"/>
              </w:rPr>
              <w:t xml:space="preserve">5 000 – 5 250 </w:t>
            </w:r>
          </w:p>
        </w:tc>
        <w:tc>
          <w:tcPr>
            <w:tcW w:w="1559" w:type="dxa"/>
            <w:shd w:val="clear" w:color="auto" w:fill="EDEBE3" w:themeFill="background2"/>
          </w:tcPr>
          <w:p w:rsidRPr="00604611" w:rsidR="00CA6A31" w:rsidP="00761AC0" w:rsidRDefault="00CA6A31" w14:paraId="2B23989F" w14:textId="606DEB3C">
            <w:pPr>
              <w:rPr>
                <w:rFonts w:ascii="Palatino Linotype" w:hAnsi="Palatino Linotype" w:eastAsiaTheme="majorEastAsia"/>
                <w:sz w:val="18"/>
                <w:szCs w:val="18"/>
              </w:rPr>
            </w:pPr>
            <w:r w:rsidRPr="00604611">
              <w:rPr>
                <w:rFonts w:ascii="Palatino Linotype" w:hAnsi="Palatino Linotype" w:eastAsiaTheme="majorEastAsia"/>
                <w:sz w:val="18"/>
                <w:szCs w:val="18"/>
              </w:rPr>
              <w:t>4 136</w:t>
            </w:r>
          </w:p>
        </w:tc>
      </w:tr>
      <w:tr w:rsidRPr="00604611" w:rsidR="00CA6A31" w:rsidTr="00ED1E92" w14:paraId="6FE6829B" w14:textId="77777777">
        <w:tc>
          <w:tcPr>
            <w:tcW w:w="4106" w:type="dxa"/>
          </w:tcPr>
          <w:p w:rsidRPr="00604611" w:rsidR="00CA6A31" w:rsidP="00761AC0" w:rsidRDefault="009B54C2" w14:paraId="7640E2C5" w14:textId="1C003D3E">
            <w:pPr>
              <w:rPr>
                <w:rFonts w:ascii="Palatino Linotype" w:hAnsi="Palatino Linotype" w:eastAsiaTheme="majorEastAsia"/>
                <w:sz w:val="18"/>
                <w:szCs w:val="18"/>
              </w:rPr>
            </w:pPr>
            <w:r w:rsidRPr="00604611">
              <w:rPr>
                <w:rFonts w:ascii="Palatino Linotype" w:hAnsi="Palatino Linotype" w:eastAsiaTheme="majorEastAsia"/>
                <w:sz w:val="18"/>
                <w:szCs w:val="18"/>
              </w:rPr>
              <w:t>Chalmers – möjlighet till kapitaltillskott</w:t>
            </w:r>
          </w:p>
        </w:tc>
        <w:tc>
          <w:tcPr>
            <w:tcW w:w="1701" w:type="dxa"/>
          </w:tcPr>
          <w:p w:rsidRPr="00604611" w:rsidR="00CA6A31" w:rsidP="00761AC0" w:rsidRDefault="009B54C2" w14:paraId="3248A311" w14:textId="7AEF8D9E">
            <w:pPr>
              <w:rPr>
                <w:rFonts w:ascii="Palatino Linotype" w:hAnsi="Palatino Linotype" w:eastAsiaTheme="majorEastAsia"/>
                <w:sz w:val="18"/>
                <w:szCs w:val="18"/>
              </w:rPr>
            </w:pPr>
            <w:r w:rsidRPr="00604611">
              <w:rPr>
                <w:rFonts w:ascii="Palatino Linotype" w:hAnsi="Palatino Linotype" w:eastAsiaTheme="majorEastAsia"/>
                <w:sz w:val="18"/>
                <w:szCs w:val="18"/>
              </w:rPr>
              <w:t>5 000 – 5 250</w:t>
            </w:r>
          </w:p>
        </w:tc>
        <w:tc>
          <w:tcPr>
            <w:tcW w:w="1559" w:type="dxa"/>
            <w:shd w:val="clear" w:color="auto" w:fill="EDEBE3" w:themeFill="background2"/>
          </w:tcPr>
          <w:p w:rsidRPr="00604611" w:rsidR="00CA6A31" w:rsidP="00761AC0" w:rsidRDefault="009B54C2" w14:paraId="27A494A0" w14:textId="7388A007">
            <w:pPr>
              <w:rPr>
                <w:rFonts w:ascii="Palatino Linotype" w:hAnsi="Palatino Linotype" w:eastAsiaTheme="majorEastAsia"/>
                <w:sz w:val="18"/>
                <w:szCs w:val="18"/>
              </w:rPr>
            </w:pPr>
            <w:r w:rsidRPr="00604611">
              <w:rPr>
                <w:rFonts w:ascii="Palatino Linotype" w:hAnsi="Palatino Linotype" w:eastAsiaTheme="majorEastAsia"/>
                <w:sz w:val="18"/>
                <w:szCs w:val="18"/>
              </w:rPr>
              <w:t>4 136</w:t>
            </w:r>
          </w:p>
        </w:tc>
      </w:tr>
      <w:tr w:rsidRPr="00604611" w:rsidR="00CA6A31" w:rsidTr="00ED1E92" w14:paraId="725445F2" w14:textId="77777777">
        <w:tc>
          <w:tcPr>
            <w:tcW w:w="4106" w:type="dxa"/>
          </w:tcPr>
          <w:p w:rsidRPr="00604611" w:rsidR="00CA6A31" w:rsidP="00761AC0" w:rsidRDefault="009B54C2" w14:paraId="792D7542" w14:textId="7999B200">
            <w:pPr>
              <w:rPr>
                <w:rFonts w:ascii="Palatino Linotype" w:hAnsi="Palatino Linotype" w:eastAsiaTheme="majorEastAsia"/>
                <w:b/>
                <w:bCs/>
                <w:sz w:val="18"/>
                <w:szCs w:val="18"/>
              </w:rPr>
            </w:pPr>
            <w:r w:rsidRPr="00604611">
              <w:rPr>
                <w:rFonts w:ascii="Palatino Linotype" w:hAnsi="Palatino Linotype" w:eastAsiaTheme="majorEastAsia"/>
                <w:b/>
                <w:bCs/>
                <w:sz w:val="18"/>
                <w:szCs w:val="18"/>
              </w:rPr>
              <w:t>Total</w:t>
            </w:r>
            <w:r w:rsidRPr="00604611" w:rsidR="0063275E">
              <w:rPr>
                <w:rFonts w:ascii="Palatino Linotype" w:hAnsi="Palatino Linotype" w:eastAsiaTheme="majorEastAsia"/>
                <w:b/>
                <w:bCs/>
                <w:sz w:val="18"/>
                <w:szCs w:val="18"/>
              </w:rPr>
              <w:t>a avvecklingskostnader</w:t>
            </w:r>
          </w:p>
        </w:tc>
        <w:tc>
          <w:tcPr>
            <w:tcW w:w="1701" w:type="dxa"/>
          </w:tcPr>
          <w:p w:rsidRPr="00604611" w:rsidR="00CA6A31" w:rsidP="00761AC0" w:rsidRDefault="009B54C2" w14:paraId="5FF8560B" w14:textId="6E317930">
            <w:pPr>
              <w:rPr>
                <w:rFonts w:ascii="Palatino Linotype" w:hAnsi="Palatino Linotype" w:eastAsiaTheme="majorEastAsia"/>
                <w:b/>
                <w:bCs/>
                <w:sz w:val="18"/>
                <w:szCs w:val="18"/>
              </w:rPr>
            </w:pPr>
            <w:r w:rsidRPr="00604611">
              <w:rPr>
                <w:rFonts w:ascii="Palatino Linotype" w:hAnsi="Palatino Linotype" w:eastAsiaTheme="majorEastAsia"/>
                <w:b/>
                <w:bCs/>
                <w:sz w:val="18"/>
                <w:szCs w:val="18"/>
              </w:rPr>
              <w:t>10 000 – 10 500</w:t>
            </w:r>
          </w:p>
        </w:tc>
        <w:tc>
          <w:tcPr>
            <w:tcW w:w="1559" w:type="dxa"/>
            <w:shd w:val="clear" w:color="auto" w:fill="EDEBE3" w:themeFill="background2"/>
          </w:tcPr>
          <w:p w:rsidRPr="00604611" w:rsidR="00CA6A31" w:rsidP="00761AC0" w:rsidRDefault="009B54C2" w14:paraId="5509C195" w14:textId="2EB1D874">
            <w:pPr>
              <w:rPr>
                <w:rFonts w:ascii="Palatino Linotype" w:hAnsi="Palatino Linotype" w:eastAsiaTheme="majorEastAsia"/>
                <w:b/>
                <w:bCs/>
                <w:sz w:val="18"/>
                <w:szCs w:val="18"/>
              </w:rPr>
            </w:pPr>
            <w:r w:rsidRPr="00604611">
              <w:rPr>
                <w:rFonts w:ascii="Palatino Linotype" w:hAnsi="Palatino Linotype" w:eastAsiaTheme="majorEastAsia"/>
                <w:b/>
                <w:bCs/>
                <w:sz w:val="18"/>
                <w:szCs w:val="18"/>
              </w:rPr>
              <w:t>8 272</w:t>
            </w:r>
          </w:p>
        </w:tc>
      </w:tr>
    </w:tbl>
    <w:p w:rsidR="0086322C" w:rsidP="002B5296" w:rsidRDefault="005F6B8F" w14:paraId="062FE5B6" w14:textId="57334E22">
      <w:pPr>
        <w:rPr>
          <w:rFonts w:ascii="Palatino Linotype" w:hAnsi="Palatino Linotype" w:eastAsiaTheme="majorEastAsia"/>
          <w:sz w:val="21"/>
          <w:szCs w:val="21"/>
        </w:rPr>
      </w:pPr>
      <w:r>
        <w:rPr>
          <w:rFonts w:ascii="Palatino Linotype" w:hAnsi="Palatino Linotype" w:eastAsiaTheme="majorEastAsia"/>
          <w:sz w:val="21"/>
          <w:szCs w:val="21"/>
        </w:rPr>
        <w:br/>
      </w:r>
      <w:r w:rsidR="00556F1A">
        <w:rPr>
          <w:rFonts w:ascii="Palatino Linotype" w:hAnsi="Palatino Linotype" w:eastAsiaTheme="majorEastAsia"/>
          <w:sz w:val="21"/>
          <w:szCs w:val="21"/>
        </w:rPr>
        <w:t xml:space="preserve">När beslut togs om frivillig likvidation </w:t>
      </w:r>
      <w:r w:rsidR="008B5328">
        <w:rPr>
          <w:rFonts w:ascii="Palatino Linotype" w:hAnsi="Palatino Linotype" w:eastAsiaTheme="majorEastAsia"/>
          <w:sz w:val="21"/>
          <w:szCs w:val="21"/>
        </w:rPr>
        <w:t>uppgick det bokförda värdet på andelarna till 1 372 tkr</w:t>
      </w:r>
      <w:r w:rsidR="001F5CD7">
        <w:rPr>
          <w:rFonts w:ascii="Palatino Linotype" w:hAnsi="Palatino Linotype" w:eastAsiaTheme="majorEastAsia"/>
          <w:sz w:val="21"/>
          <w:szCs w:val="21"/>
        </w:rPr>
        <w:t xml:space="preserve"> </w:t>
      </w:r>
      <w:r w:rsidR="004F06B6">
        <w:rPr>
          <w:rFonts w:ascii="Palatino Linotype" w:hAnsi="Palatino Linotype" w:eastAsiaTheme="majorEastAsia"/>
          <w:sz w:val="21"/>
          <w:szCs w:val="21"/>
        </w:rPr>
        <w:t xml:space="preserve">hos </w:t>
      </w:r>
      <w:r w:rsidR="001F5CD7">
        <w:rPr>
          <w:rFonts w:ascii="Palatino Linotype" w:hAnsi="Palatino Linotype" w:eastAsiaTheme="majorEastAsia"/>
          <w:sz w:val="21"/>
          <w:szCs w:val="21"/>
        </w:rPr>
        <w:t>BRG</w:t>
      </w:r>
      <w:r w:rsidR="008B5328">
        <w:rPr>
          <w:rFonts w:ascii="Palatino Linotype" w:hAnsi="Palatino Linotype" w:eastAsiaTheme="majorEastAsia"/>
          <w:sz w:val="21"/>
          <w:szCs w:val="21"/>
        </w:rPr>
        <w:t xml:space="preserve">. </w:t>
      </w:r>
      <w:r w:rsidR="004B7591">
        <w:rPr>
          <w:rFonts w:ascii="Palatino Linotype" w:hAnsi="Palatino Linotype" w:eastAsiaTheme="majorEastAsia"/>
          <w:sz w:val="21"/>
          <w:szCs w:val="21"/>
        </w:rPr>
        <w:t>Det</w:t>
      </w:r>
      <w:r w:rsidR="00F77F62">
        <w:rPr>
          <w:rFonts w:ascii="Palatino Linotype" w:hAnsi="Palatino Linotype" w:eastAsiaTheme="majorEastAsia"/>
          <w:sz w:val="21"/>
          <w:szCs w:val="21"/>
        </w:rPr>
        <w:t xml:space="preserve"> </w:t>
      </w:r>
      <w:r w:rsidRPr="00C06DEA" w:rsidR="00F77F62">
        <w:rPr>
          <w:rFonts w:ascii="Palatino Linotype" w:hAnsi="Palatino Linotype" w:eastAsiaTheme="majorEastAsia"/>
          <w:sz w:val="21"/>
          <w:szCs w:val="21"/>
        </w:rPr>
        <w:t>ingående</w:t>
      </w:r>
      <w:r w:rsidRPr="00C06DEA" w:rsidR="00C06DEA">
        <w:rPr>
          <w:rFonts w:ascii="Palatino Linotype" w:hAnsi="Palatino Linotype" w:eastAsiaTheme="majorEastAsia"/>
          <w:sz w:val="21"/>
          <w:szCs w:val="21"/>
        </w:rPr>
        <w:t xml:space="preserve"> bokförda värde</w:t>
      </w:r>
      <w:r w:rsidR="004B7591">
        <w:rPr>
          <w:rFonts w:ascii="Palatino Linotype" w:hAnsi="Palatino Linotype" w:eastAsiaTheme="majorEastAsia"/>
          <w:sz w:val="21"/>
          <w:szCs w:val="21"/>
        </w:rPr>
        <w:t>t</w:t>
      </w:r>
      <w:r w:rsidRPr="00C06DEA" w:rsidR="00C06DEA">
        <w:rPr>
          <w:rFonts w:ascii="Palatino Linotype" w:hAnsi="Palatino Linotype" w:eastAsiaTheme="majorEastAsia"/>
          <w:sz w:val="21"/>
          <w:szCs w:val="21"/>
        </w:rPr>
        <w:t xml:space="preserve"> per den 1 januari 2025 uppgick till 600 tkr.</w:t>
      </w:r>
      <w:r w:rsidR="004B7591">
        <w:rPr>
          <w:rFonts w:ascii="Palatino Linotype" w:hAnsi="Palatino Linotype" w:eastAsiaTheme="majorEastAsia"/>
          <w:sz w:val="21"/>
          <w:szCs w:val="21"/>
        </w:rPr>
        <w:t xml:space="preserve"> T</w:t>
      </w:r>
      <w:r w:rsidRPr="00B65DEC" w:rsidR="0086322C">
        <w:rPr>
          <w:rFonts w:ascii="Palatino Linotype" w:hAnsi="Palatino Linotype" w:eastAsiaTheme="majorEastAsia"/>
          <w:sz w:val="21"/>
          <w:szCs w:val="21"/>
        </w:rPr>
        <w:t xml:space="preserve">idigare </w:t>
      </w:r>
      <w:r w:rsidR="0086322C">
        <w:rPr>
          <w:rFonts w:ascii="Palatino Linotype" w:hAnsi="Palatino Linotype" w:eastAsiaTheme="majorEastAsia"/>
          <w:sz w:val="21"/>
          <w:szCs w:val="21"/>
        </w:rPr>
        <w:t xml:space="preserve">års </w:t>
      </w:r>
      <w:r w:rsidRPr="00B65DEC" w:rsidR="0086322C">
        <w:rPr>
          <w:rFonts w:ascii="Palatino Linotype" w:hAnsi="Palatino Linotype" w:eastAsiaTheme="majorEastAsia"/>
          <w:sz w:val="21"/>
          <w:szCs w:val="21"/>
        </w:rPr>
        <w:t>nedskrivning</w:t>
      </w:r>
      <w:r w:rsidR="0086322C">
        <w:rPr>
          <w:rFonts w:ascii="Palatino Linotype" w:hAnsi="Palatino Linotype" w:eastAsiaTheme="majorEastAsia"/>
          <w:sz w:val="21"/>
          <w:szCs w:val="21"/>
        </w:rPr>
        <w:t xml:space="preserve"> gjordes</w:t>
      </w:r>
      <w:r w:rsidRPr="00B65DEC" w:rsidR="0086322C">
        <w:rPr>
          <w:rFonts w:ascii="Palatino Linotype" w:hAnsi="Palatino Linotype" w:eastAsiaTheme="majorEastAsia"/>
          <w:sz w:val="21"/>
          <w:szCs w:val="21"/>
        </w:rPr>
        <w:t xml:space="preserve"> då aktiekapitalet </w:t>
      </w:r>
      <w:r w:rsidR="0086322C">
        <w:rPr>
          <w:rFonts w:ascii="Palatino Linotype" w:hAnsi="Palatino Linotype" w:eastAsiaTheme="majorEastAsia"/>
          <w:sz w:val="21"/>
          <w:szCs w:val="21"/>
        </w:rPr>
        <w:t xml:space="preserve">delvis </w:t>
      </w:r>
      <w:r w:rsidRPr="00B65DEC" w:rsidR="0086322C">
        <w:rPr>
          <w:rFonts w:ascii="Palatino Linotype" w:hAnsi="Palatino Linotype" w:eastAsiaTheme="majorEastAsia"/>
          <w:sz w:val="21"/>
          <w:szCs w:val="21"/>
        </w:rPr>
        <w:t xml:space="preserve">bedömdes </w:t>
      </w:r>
      <w:r w:rsidR="00717DEA">
        <w:rPr>
          <w:rFonts w:ascii="Palatino Linotype" w:hAnsi="Palatino Linotype" w:eastAsiaTheme="majorEastAsia"/>
          <w:sz w:val="21"/>
          <w:szCs w:val="21"/>
        </w:rPr>
        <w:t>behöva</w:t>
      </w:r>
      <w:r w:rsidRPr="00B65DEC" w:rsidR="0086322C">
        <w:rPr>
          <w:rFonts w:ascii="Palatino Linotype" w:hAnsi="Palatino Linotype" w:eastAsiaTheme="majorEastAsia"/>
          <w:sz w:val="21"/>
          <w:szCs w:val="21"/>
        </w:rPr>
        <w:t xml:space="preserve"> användas vid likvidation</w:t>
      </w:r>
      <w:r w:rsidR="00761FB9">
        <w:rPr>
          <w:rFonts w:ascii="Palatino Linotype" w:hAnsi="Palatino Linotype" w:eastAsiaTheme="majorEastAsia"/>
          <w:sz w:val="21"/>
          <w:szCs w:val="21"/>
        </w:rPr>
        <w:t>en</w:t>
      </w:r>
      <w:r w:rsidRPr="00B65DEC" w:rsidR="0086322C">
        <w:rPr>
          <w:rFonts w:ascii="Palatino Linotype" w:hAnsi="Palatino Linotype" w:eastAsiaTheme="majorEastAsia"/>
          <w:sz w:val="21"/>
          <w:szCs w:val="21"/>
        </w:rPr>
        <w:t xml:space="preserve">, men </w:t>
      </w:r>
      <w:r w:rsidR="00761FB9">
        <w:rPr>
          <w:rFonts w:ascii="Palatino Linotype" w:hAnsi="Palatino Linotype" w:eastAsiaTheme="majorEastAsia"/>
          <w:sz w:val="21"/>
          <w:szCs w:val="21"/>
        </w:rPr>
        <w:t>utfallet blev b</w:t>
      </w:r>
      <w:r w:rsidRPr="00B65DEC" w:rsidR="0086322C">
        <w:rPr>
          <w:rFonts w:ascii="Palatino Linotype" w:hAnsi="Palatino Linotype" w:eastAsiaTheme="majorEastAsia"/>
          <w:sz w:val="21"/>
          <w:szCs w:val="21"/>
        </w:rPr>
        <w:t xml:space="preserve">ättre än väntat </w:t>
      </w:r>
      <w:r w:rsidR="00717DEA">
        <w:rPr>
          <w:rFonts w:ascii="Palatino Linotype" w:hAnsi="Palatino Linotype" w:eastAsiaTheme="majorEastAsia"/>
          <w:sz w:val="21"/>
          <w:szCs w:val="21"/>
        </w:rPr>
        <w:t xml:space="preserve">givet de positiva effekter som nämns ovan. </w:t>
      </w:r>
      <w:r w:rsidRPr="00C06DEA" w:rsidR="00761FB9">
        <w:rPr>
          <w:rFonts w:ascii="Palatino Linotype" w:hAnsi="Palatino Linotype" w:eastAsiaTheme="majorEastAsia"/>
          <w:sz w:val="21"/>
          <w:szCs w:val="21"/>
        </w:rPr>
        <w:t xml:space="preserve">Sett över </w:t>
      </w:r>
      <w:r w:rsidR="00C30192">
        <w:rPr>
          <w:rFonts w:ascii="Palatino Linotype" w:hAnsi="Palatino Linotype" w:eastAsiaTheme="majorEastAsia"/>
          <w:sz w:val="21"/>
          <w:szCs w:val="21"/>
        </w:rPr>
        <w:t xml:space="preserve">åren 2023–2025 </w:t>
      </w:r>
      <w:r w:rsidRPr="00C06DEA" w:rsidR="00761FB9">
        <w:rPr>
          <w:rFonts w:ascii="Palatino Linotype" w:hAnsi="Palatino Linotype" w:eastAsiaTheme="majorEastAsia"/>
          <w:sz w:val="21"/>
          <w:szCs w:val="21"/>
        </w:rPr>
        <w:t xml:space="preserve">motsvarar skifteslikviden </w:t>
      </w:r>
      <w:r w:rsidR="00761FB9">
        <w:rPr>
          <w:rFonts w:ascii="Palatino Linotype" w:hAnsi="Palatino Linotype" w:eastAsiaTheme="majorEastAsia"/>
          <w:sz w:val="21"/>
          <w:szCs w:val="21"/>
        </w:rPr>
        <w:t xml:space="preserve">1 356 tkr </w:t>
      </w:r>
      <w:r w:rsidRPr="00C06DEA" w:rsidR="00761FB9">
        <w:rPr>
          <w:rFonts w:ascii="Palatino Linotype" w:hAnsi="Palatino Linotype" w:eastAsiaTheme="majorEastAsia"/>
          <w:sz w:val="21"/>
          <w:szCs w:val="21"/>
        </w:rPr>
        <w:t xml:space="preserve">det ursprungliga </w:t>
      </w:r>
      <w:r w:rsidR="00761FB9">
        <w:rPr>
          <w:rFonts w:ascii="Palatino Linotype" w:hAnsi="Palatino Linotype" w:eastAsiaTheme="majorEastAsia"/>
          <w:sz w:val="21"/>
          <w:szCs w:val="21"/>
        </w:rPr>
        <w:t>bokförda värdet</w:t>
      </w:r>
      <w:r w:rsidRPr="00C06DEA" w:rsidR="00761FB9">
        <w:rPr>
          <w:rFonts w:ascii="Palatino Linotype" w:hAnsi="Palatino Linotype" w:eastAsiaTheme="majorEastAsia"/>
          <w:sz w:val="21"/>
          <w:szCs w:val="21"/>
        </w:rPr>
        <w:t xml:space="preserve"> om 1 372 tkr, varför </w:t>
      </w:r>
      <w:r w:rsidR="00761FB9">
        <w:rPr>
          <w:rFonts w:ascii="Palatino Linotype" w:hAnsi="Palatino Linotype" w:eastAsiaTheme="majorEastAsia"/>
          <w:sz w:val="21"/>
          <w:szCs w:val="21"/>
        </w:rPr>
        <w:t>det</w:t>
      </w:r>
      <w:r w:rsidRPr="00C06DEA" w:rsidR="00761FB9">
        <w:rPr>
          <w:rFonts w:ascii="Palatino Linotype" w:hAnsi="Palatino Linotype" w:eastAsiaTheme="majorEastAsia"/>
          <w:sz w:val="21"/>
          <w:szCs w:val="21"/>
        </w:rPr>
        <w:t xml:space="preserve"> sammantaget inte </w:t>
      </w:r>
      <w:r w:rsidR="00761FB9">
        <w:rPr>
          <w:rFonts w:ascii="Palatino Linotype" w:hAnsi="Palatino Linotype" w:eastAsiaTheme="majorEastAsia"/>
          <w:sz w:val="21"/>
          <w:szCs w:val="21"/>
        </w:rPr>
        <w:t>gett</w:t>
      </w:r>
      <w:r w:rsidRPr="00C06DEA" w:rsidR="00761FB9">
        <w:rPr>
          <w:rFonts w:ascii="Palatino Linotype" w:hAnsi="Palatino Linotype" w:eastAsiaTheme="majorEastAsia"/>
          <w:sz w:val="21"/>
          <w:szCs w:val="21"/>
        </w:rPr>
        <w:t xml:space="preserve"> någon resultatpåverkan </w:t>
      </w:r>
      <w:r w:rsidR="00761FB9">
        <w:rPr>
          <w:rFonts w:ascii="Palatino Linotype" w:hAnsi="Palatino Linotype" w:eastAsiaTheme="majorEastAsia"/>
          <w:sz w:val="21"/>
          <w:szCs w:val="21"/>
        </w:rPr>
        <w:t xml:space="preserve">för BRG </w:t>
      </w:r>
      <w:r w:rsidRPr="00C06DEA" w:rsidR="00761FB9">
        <w:rPr>
          <w:rFonts w:ascii="Palatino Linotype" w:hAnsi="Palatino Linotype" w:eastAsiaTheme="majorEastAsia"/>
          <w:sz w:val="21"/>
          <w:szCs w:val="21"/>
        </w:rPr>
        <w:t>över tid.</w:t>
      </w:r>
    </w:p>
    <w:p w:rsidR="007B6715" w:rsidP="002B5296" w:rsidRDefault="00C06DEA" w14:paraId="6CAC625A" w14:textId="3D537AB6">
      <w:pPr>
        <w:rPr>
          <w:rFonts w:ascii="Palatino Linotype" w:hAnsi="Palatino Linotype" w:eastAsiaTheme="majorEastAsia"/>
          <w:sz w:val="21"/>
          <w:szCs w:val="21"/>
        </w:rPr>
      </w:pPr>
      <w:r w:rsidRPr="00C06DEA">
        <w:rPr>
          <w:rFonts w:ascii="Palatino Linotype" w:hAnsi="Palatino Linotype" w:eastAsiaTheme="majorEastAsia"/>
          <w:sz w:val="21"/>
          <w:szCs w:val="21"/>
        </w:rPr>
        <w:t xml:space="preserve">Erhållen skifteslikvid om 1 356 tkr medförde </w:t>
      </w:r>
      <w:r w:rsidR="00761FB9">
        <w:rPr>
          <w:rFonts w:ascii="Palatino Linotype" w:hAnsi="Palatino Linotype" w:eastAsiaTheme="majorEastAsia"/>
          <w:sz w:val="21"/>
          <w:szCs w:val="21"/>
        </w:rPr>
        <w:t xml:space="preserve">dock </w:t>
      </w:r>
      <w:r w:rsidRPr="00C06DEA">
        <w:rPr>
          <w:rFonts w:ascii="Palatino Linotype" w:hAnsi="Palatino Linotype" w:eastAsiaTheme="majorEastAsia"/>
          <w:sz w:val="21"/>
          <w:szCs w:val="21"/>
        </w:rPr>
        <w:t>en redovisad realisationsvinst om 756 tkr för räkenskapsåret</w:t>
      </w:r>
      <w:r w:rsidR="009F0C22">
        <w:rPr>
          <w:rFonts w:ascii="Palatino Linotype" w:hAnsi="Palatino Linotype" w:eastAsiaTheme="majorEastAsia"/>
          <w:sz w:val="21"/>
          <w:szCs w:val="21"/>
        </w:rPr>
        <w:t xml:space="preserve"> 2025</w:t>
      </w:r>
      <w:r w:rsidRPr="00C06DEA">
        <w:rPr>
          <w:rFonts w:ascii="Palatino Linotype" w:hAnsi="Palatino Linotype" w:eastAsiaTheme="majorEastAsia"/>
          <w:sz w:val="21"/>
          <w:szCs w:val="21"/>
        </w:rPr>
        <w:t>.</w:t>
      </w:r>
      <w:r w:rsidR="00240C1B">
        <w:rPr>
          <w:rFonts w:ascii="Palatino Linotype" w:hAnsi="Palatino Linotype" w:eastAsiaTheme="majorEastAsia"/>
          <w:sz w:val="21"/>
          <w:szCs w:val="21"/>
        </w:rPr>
        <w:t xml:space="preserve"> </w:t>
      </w:r>
      <w:r w:rsidR="00FD6C52">
        <w:rPr>
          <w:rFonts w:ascii="Palatino Linotype" w:hAnsi="Palatino Linotype" w:eastAsiaTheme="majorEastAsia"/>
          <w:sz w:val="21"/>
          <w:szCs w:val="21"/>
        </w:rPr>
        <w:t>Eftersom innehavet var näringsbetingat är vinsten skattefri.</w:t>
      </w:r>
      <w:r w:rsidR="004B7591">
        <w:rPr>
          <w:rFonts w:ascii="Palatino Linotype" w:hAnsi="Palatino Linotype" w:eastAsiaTheme="majorEastAsia"/>
          <w:sz w:val="21"/>
          <w:szCs w:val="21"/>
        </w:rPr>
        <w:t xml:space="preserve"> </w:t>
      </w:r>
    </w:p>
    <w:p w:rsidRPr="00637964" w:rsidR="002B5296" w:rsidP="002B5296" w:rsidRDefault="00A01C4F" w14:paraId="5EB0C2BF" w14:textId="5FBB688B">
      <w:pPr>
        <w:rPr>
          <w:rFonts w:ascii="Palatino Linotype" w:hAnsi="Palatino Linotype" w:eastAsiaTheme="majorEastAsia"/>
          <w:i/>
          <w:iCs/>
          <w:sz w:val="18"/>
          <w:szCs w:val="18"/>
        </w:rPr>
      </w:pPr>
      <w:r w:rsidRPr="00637964">
        <w:rPr>
          <w:rFonts w:ascii="Palatino Linotype" w:hAnsi="Palatino Linotype" w:eastAsiaTheme="majorEastAsia"/>
          <w:i/>
          <w:iCs/>
          <w:sz w:val="18"/>
          <w:szCs w:val="18"/>
        </w:rPr>
        <w:t>N</w:t>
      </w:r>
      <w:r w:rsidRPr="00637964" w:rsidR="002B5296">
        <w:rPr>
          <w:rFonts w:ascii="Palatino Linotype" w:hAnsi="Palatino Linotype" w:eastAsiaTheme="majorEastAsia"/>
          <w:i/>
          <w:iCs/>
          <w:sz w:val="18"/>
          <w:szCs w:val="18"/>
        </w:rPr>
        <w:t>edskrivning</w:t>
      </w:r>
      <w:r w:rsidRPr="00637964">
        <w:rPr>
          <w:rFonts w:ascii="Palatino Linotype" w:hAnsi="Palatino Linotype" w:eastAsiaTheme="majorEastAsia"/>
          <w:i/>
          <w:iCs/>
          <w:sz w:val="18"/>
          <w:szCs w:val="18"/>
        </w:rPr>
        <w:t xml:space="preserve"> ÅR23</w:t>
      </w:r>
      <w:r w:rsidRPr="00637964" w:rsidR="00185F4E">
        <w:rPr>
          <w:rFonts w:ascii="Palatino Linotype" w:hAnsi="Palatino Linotype" w:eastAsiaTheme="majorEastAsia"/>
          <w:i/>
          <w:iCs/>
          <w:sz w:val="18"/>
          <w:szCs w:val="18"/>
        </w:rPr>
        <w:t xml:space="preserve"> </w:t>
      </w:r>
      <w:r w:rsidRPr="00637964" w:rsidR="002B5296">
        <w:rPr>
          <w:rFonts w:ascii="Palatino Linotype" w:hAnsi="Palatino Linotype" w:eastAsiaTheme="majorEastAsia"/>
          <w:i/>
          <w:iCs/>
          <w:sz w:val="18"/>
          <w:szCs w:val="18"/>
        </w:rPr>
        <w:t xml:space="preserve">(-1 372 tkr) </w:t>
      </w:r>
      <w:r w:rsidRPr="00637964" w:rsidR="00AC7380">
        <w:rPr>
          <w:rFonts w:ascii="Palatino Linotype" w:hAnsi="Palatino Linotype" w:eastAsiaTheme="majorEastAsia"/>
          <w:i/>
          <w:iCs/>
          <w:sz w:val="18"/>
          <w:szCs w:val="18"/>
        </w:rPr>
        <w:t>–</w:t>
      </w:r>
      <w:r w:rsidRPr="00637964" w:rsidR="002B5296">
        <w:rPr>
          <w:rFonts w:ascii="Palatino Linotype" w:hAnsi="Palatino Linotype" w:eastAsiaTheme="majorEastAsia"/>
          <w:i/>
          <w:iCs/>
          <w:sz w:val="18"/>
          <w:szCs w:val="18"/>
        </w:rPr>
        <w:t xml:space="preserve"> kostnad</w:t>
      </w:r>
      <w:r w:rsidRPr="00637964" w:rsidR="00AC7380">
        <w:rPr>
          <w:rFonts w:ascii="Palatino Linotype" w:hAnsi="Palatino Linotype" w:eastAsiaTheme="majorEastAsia"/>
          <w:i/>
          <w:iCs/>
          <w:sz w:val="18"/>
          <w:szCs w:val="18"/>
        </w:rPr>
        <w:t xml:space="preserve"> som</w:t>
      </w:r>
      <w:r w:rsidRPr="00637964" w:rsidR="002B5296">
        <w:rPr>
          <w:rFonts w:ascii="Palatino Linotype" w:hAnsi="Palatino Linotype" w:eastAsiaTheme="majorEastAsia"/>
          <w:i/>
          <w:iCs/>
          <w:sz w:val="18"/>
          <w:szCs w:val="18"/>
        </w:rPr>
        <w:t xml:space="preserve"> belastat resultatet</w:t>
      </w:r>
      <w:r w:rsidRPr="00637964" w:rsidR="002B5296">
        <w:rPr>
          <w:rFonts w:ascii="Palatino Linotype" w:hAnsi="Palatino Linotype" w:eastAsiaTheme="majorEastAsia"/>
          <w:i/>
          <w:iCs/>
          <w:sz w:val="18"/>
          <w:szCs w:val="18"/>
        </w:rPr>
        <w:br/>
      </w:r>
      <w:r w:rsidRPr="00637964" w:rsidR="002B5296">
        <w:rPr>
          <w:rFonts w:ascii="Palatino Linotype" w:hAnsi="Palatino Linotype" w:eastAsiaTheme="majorEastAsia"/>
          <w:i/>
          <w:iCs/>
          <w:sz w:val="18"/>
          <w:szCs w:val="18"/>
        </w:rPr>
        <w:t xml:space="preserve">Uppskrivning </w:t>
      </w:r>
      <w:r w:rsidRPr="00637964">
        <w:rPr>
          <w:rFonts w:ascii="Palatino Linotype" w:hAnsi="Palatino Linotype" w:eastAsiaTheme="majorEastAsia"/>
          <w:i/>
          <w:iCs/>
          <w:sz w:val="18"/>
          <w:szCs w:val="18"/>
        </w:rPr>
        <w:t>ÅR24</w:t>
      </w:r>
      <w:r w:rsidRPr="00637964" w:rsidR="002B5296">
        <w:rPr>
          <w:rFonts w:ascii="Palatino Linotype" w:hAnsi="Palatino Linotype" w:eastAsiaTheme="majorEastAsia"/>
          <w:i/>
          <w:iCs/>
          <w:sz w:val="18"/>
          <w:szCs w:val="18"/>
        </w:rPr>
        <w:t xml:space="preserve"> (600 tkr) - minskar tidigare kostnad</w:t>
      </w:r>
      <w:r w:rsidRPr="00637964" w:rsidR="002B5296">
        <w:rPr>
          <w:rFonts w:ascii="Palatino Linotype" w:hAnsi="Palatino Linotype" w:eastAsiaTheme="majorEastAsia"/>
          <w:i/>
          <w:iCs/>
          <w:sz w:val="18"/>
          <w:szCs w:val="18"/>
        </w:rPr>
        <w:br/>
      </w:r>
      <w:r w:rsidRPr="00637964" w:rsidR="002B5296">
        <w:rPr>
          <w:rFonts w:ascii="Palatino Linotype" w:hAnsi="Palatino Linotype" w:eastAsiaTheme="majorEastAsia"/>
          <w:i/>
          <w:iCs/>
          <w:sz w:val="18"/>
          <w:szCs w:val="18"/>
        </w:rPr>
        <w:t xml:space="preserve">Skifteslikvid erhållen </w:t>
      </w:r>
      <w:r w:rsidRPr="00637964">
        <w:rPr>
          <w:rFonts w:ascii="Palatino Linotype" w:hAnsi="Palatino Linotype" w:eastAsiaTheme="majorEastAsia"/>
          <w:i/>
          <w:iCs/>
          <w:sz w:val="18"/>
          <w:szCs w:val="18"/>
        </w:rPr>
        <w:t xml:space="preserve">ÅR25 </w:t>
      </w:r>
      <w:r w:rsidRPr="00637964" w:rsidR="002B5296">
        <w:rPr>
          <w:rFonts w:ascii="Palatino Linotype" w:hAnsi="Palatino Linotype" w:eastAsiaTheme="majorEastAsia"/>
          <w:i/>
          <w:iCs/>
          <w:sz w:val="18"/>
          <w:szCs w:val="18"/>
        </w:rPr>
        <w:t>(1 356) - reavinsten 756 tkr minskar kostnaden ytterligare</w:t>
      </w:r>
      <w:r w:rsidRPr="00637964" w:rsidR="002B5296">
        <w:rPr>
          <w:rFonts w:ascii="Palatino Linotype" w:hAnsi="Palatino Linotype" w:eastAsiaTheme="majorEastAsia"/>
          <w:i/>
          <w:iCs/>
          <w:sz w:val="18"/>
          <w:szCs w:val="18"/>
        </w:rPr>
        <w:br/>
      </w:r>
      <w:r w:rsidRPr="00637964" w:rsidR="002B5296">
        <w:rPr>
          <w:rFonts w:ascii="Palatino Linotype" w:hAnsi="Palatino Linotype" w:eastAsiaTheme="majorEastAsia"/>
          <w:i/>
          <w:iCs/>
          <w:sz w:val="18"/>
          <w:szCs w:val="18"/>
        </w:rPr>
        <w:t>Sammanfattningsvis 1 372 - 600 - 756 = 16 tkr</w:t>
      </w:r>
    </w:p>
    <w:p w:rsidRPr="00604611" w:rsidR="00AE276A" w:rsidP="000046E1" w:rsidRDefault="00AE276A" w14:paraId="314CE79E" w14:textId="5DA562BA">
      <w:pPr>
        <w:rPr>
          <w:rFonts w:ascii="Palatino Linotype" w:hAnsi="Palatino Linotype"/>
          <w:sz w:val="21"/>
          <w:szCs w:val="21"/>
        </w:rPr>
      </w:pPr>
      <w:r w:rsidRPr="00604611">
        <w:rPr>
          <w:rFonts w:ascii="Palatino Linotype" w:hAnsi="Palatino Linotype"/>
          <w:sz w:val="21"/>
          <w:szCs w:val="21"/>
        </w:rPr>
        <w:t>Patrik Andersson</w:t>
      </w:r>
    </w:p>
    <w:p w:rsidRPr="00604611" w:rsidR="00AE276A" w:rsidP="000046E1" w:rsidRDefault="00AE276A" w14:paraId="6E5E6FC3" w14:textId="77777777">
      <w:pPr>
        <w:rPr>
          <w:rFonts w:ascii="Palatino Linotype" w:hAnsi="Palatino Linotype"/>
          <w:sz w:val="21"/>
          <w:szCs w:val="21"/>
        </w:rPr>
      </w:pPr>
      <w:r w:rsidRPr="00604611">
        <w:rPr>
          <w:rFonts w:ascii="Palatino Linotype" w:hAnsi="Palatino Linotype"/>
          <w:sz w:val="21"/>
          <w:szCs w:val="21"/>
        </w:rPr>
        <w:t>Vd, Business Region Göteborg AB</w:t>
      </w:r>
    </w:p>
    <w:sectPr w:rsidRPr="00604611" w:rsidR="00AE276A" w:rsidSect="00436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418" w:right="2552" w:bottom="1418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B0C" w:rsidP="00BF282B" w:rsidRDefault="002B1B0C" w14:paraId="448040E7" w14:textId="77777777">
      <w:pPr>
        <w:spacing w:after="0" w:line="240" w:lineRule="auto"/>
      </w:pPr>
      <w:r>
        <w:separator/>
      </w:r>
    </w:p>
  </w:endnote>
  <w:endnote w:type="continuationSeparator" w:id="0">
    <w:p w:rsidR="002B1B0C" w:rsidP="00BF282B" w:rsidRDefault="002B1B0C" w14:paraId="3D2A14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D59" w:rsidRDefault="00244D59" w14:paraId="09D4B9E0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Pr="009B4E2A" w:rsidR="00E92E25" w:rsidTr="00EA4A38" w14:paraId="32AE845D" w14:textId="77777777">
      <w:tc>
        <w:tcPr>
          <w:tcW w:w="7155" w:type="dxa"/>
          <w:gridSpan w:val="2"/>
          <w:tcBorders>
            <w:top w:val="nil"/>
          </w:tcBorders>
        </w:tcPr>
        <w:p w:rsidRPr="00EA4A38" w:rsidR="00E92E25" w:rsidP="00EA4A38" w:rsidRDefault="00B4215B" w14:paraId="2518CD16" w14:textId="77777777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BUSINESS REGION GÖTEBORG AB</w:t>
          </w:r>
        </w:p>
      </w:tc>
      <w:tc>
        <w:tcPr>
          <w:tcW w:w="1917" w:type="dxa"/>
          <w:tcBorders>
            <w:top w:val="nil"/>
          </w:tcBorders>
        </w:tcPr>
        <w:p w:rsidRPr="009B4E2A" w:rsidR="00E92E25" w:rsidP="00EA4A38" w:rsidRDefault="00E92E25" w14:paraId="438078FE" w14:textId="77777777">
          <w:pPr>
            <w:pStyle w:val="Sidfot"/>
            <w:jc w:val="right"/>
          </w:pPr>
        </w:p>
      </w:tc>
    </w:tr>
    <w:tr w:rsidR="00F66187" w:rsidTr="00EA4A38" w14:paraId="08225051" w14:textId="77777777">
      <w:tc>
        <w:tcPr>
          <w:tcW w:w="3338" w:type="dxa"/>
          <w:tcBorders>
            <w:top w:val="nil"/>
          </w:tcBorders>
        </w:tcPr>
        <w:p w:rsidRPr="00F66187" w:rsidR="00F66187" w:rsidP="00EA4A38" w:rsidRDefault="00F66187" w14:paraId="6C18A053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:rsidR="00F66187" w:rsidP="00EA4A38" w:rsidRDefault="00F66187" w14:paraId="07CB875E" w14:textId="77777777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:rsidR="00F66187" w:rsidP="00EA4A38" w:rsidRDefault="00EA4A38" w14:paraId="2614D454" w14:textId="77777777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583A7040" wp14:editId="54F12762">
                <wp:simplePos x="0" y="0"/>
                <wp:positionH relativeFrom="column">
                  <wp:posOffset>0</wp:posOffset>
                </wp:positionH>
                <wp:positionV relativeFrom="bottomMargin">
                  <wp:posOffset>-380365</wp:posOffset>
                </wp:positionV>
                <wp:extent cx="1056640" cy="678180"/>
                <wp:effectExtent l="0" t="0" r="0" b="7620"/>
                <wp:wrapNone/>
                <wp:docPr id="1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66187" w:rsidTr="00EA4A38" w14:paraId="6DF14180" w14:textId="77777777">
      <w:tc>
        <w:tcPr>
          <w:tcW w:w="3338" w:type="dxa"/>
          <w:tcBorders>
            <w:top w:val="nil"/>
          </w:tcBorders>
        </w:tcPr>
        <w:p w:rsidR="00F66187" w:rsidP="00EA4A38" w:rsidRDefault="00F66187" w14:paraId="276FF6F0" w14:textId="77777777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:rsidR="00F66187" w:rsidP="00EA4A38" w:rsidRDefault="00F66187" w14:paraId="0D6121EB" w14:textId="77777777">
          <w:pPr>
            <w:pStyle w:val="Sidfot"/>
          </w:pPr>
        </w:p>
      </w:tc>
      <w:tc>
        <w:tcPr>
          <w:tcW w:w="1917" w:type="dxa"/>
        </w:tcPr>
        <w:p w:rsidR="00F66187" w:rsidP="00EA4A38" w:rsidRDefault="00F66187" w14:paraId="625EE7D8" w14:textId="77777777">
          <w:pPr>
            <w:pStyle w:val="Sidfot"/>
            <w:jc w:val="right"/>
          </w:pPr>
        </w:p>
      </w:tc>
    </w:tr>
  </w:tbl>
  <w:p w:rsidRPr="00F66187" w:rsidR="00F57801" w:rsidRDefault="00F57801" w14:paraId="5B6ACB40" w14:textId="7777777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Pr="009B4E2A" w:rsidR="00FB3384" w:rsidTr="00F74766" w14:paraId="1728C684" w14:textId="77777777">
      <w:tc>
        <w:tcPr>
          <w:tcW w:w="7118" w:type="dxa"/>
          <w:gridSpan w:val="2"/>
          <w:tcBorders>
            <w:top w:val="nil"/>
          </w:tcBorders>
        </w:tcPr>
        <w:p w:rsidRPr="00F74766" w:rsidR="00F74766" w:rsidP="00F74766" w:rsidRDefault="00244D59" w14:paraId="69660093" w14:textId="77777777">
          <w:pPr>
            <w:spacing w:after="60"/>
            <w:rPr>
              <w:rFonts w:ascii="Arial" w:hAnsi="Arial" w:eastAsia="Palatino Linotype" w:cs="Arial"/>
              <w:sz w:val="14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280B62A" wp14:editId="5ED941BF">
                <wp:simplePos x="0" y="0"/>
                <wp:positionH relativeFrom="column">
                  <wp:posOffset>4531360</wp:posOffset>
                </wp:positionH>
                <wp:positionV relativeFrom="bottomMargin">
                  <wp:posOffset>3810</wp:posOffset>
                </wp:positionV>
                <wp:extent cx="1050290" cy="678180"/>
                <wp:effectExtent l="0" t="0" r="0" b="762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eastAsia="Palatino Linotype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E0E07">
                <w:rPr>
                  <w:rFonts w:ascii="Arial" w:hAnsi="Arial" w:eastAsia="Palatino Linotype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Pr="00F74766" w:rsidR="00F74766">
            <w:rPr>
              <w:rFonts w:ascii="Arial" w:hAnsi="Arial" w:eastAsia="Palatino Linotype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hAnsi="Arial" w:eastAsia="Palatino Linotype" w:cs="Arial"/>
              <w:b/>
              <w:caps/>
              <w:color w:val="3B5776"/>
              <w:sz w:val="14"/>
              <w:szCs w:val="22"/>
            </w:rPr>
            <w:br/>
          </w:r>
          <w:r w:rsidR="00B4215B">
            <w:rPr>
              <w:rFonts w:ascii="Arial" w:hAnsi="Arial" w:eastAsia="Palatino Linotype" w:cs="Arial"/>
              <w:sz w:val="14"/>
              <w:szCs w:val="22"/>
            </w:rPr>
            <w:t xml:space="preserve"> </w:t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Besöksadress: Östra Hamngatan 5, Postadress: Box 11119, 404 23 Göteborg</w:t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br/>
          </w:r>
          <w:r w:rsidR="00B4215B">
            <w:rPr>
              <w:rFonts w:ascii="Arial" w:hAnsi="Arial" w:eastAsia="Palatino Linotype" w:cs="Arial"/>
              <w:sz w:val="14"/>
              <w:szCs w:val="22"/>
            </w:rPr>
            <w:t xml:space="preserve"> </w:t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Telefon växel: 031-367 61 00, www.businessregiongoteborg.se</w:t>
          </w:r>
        </w:p>
        <w:p w:rsidRPr="00F74766" w:rsidR="00F74766" w:rsidP="00F74766" w:rsidRDefault="00B4215B" w14:paraId="0930EECF" w14:textId="77777777">
          <w:pPr>
            <w:spacing w:line="259" w:lineRule="auto"/>
            <w:rPr>
              <w:rFonts w:ascii="Arial" w:hAnsi="Arial" w:eastAsia="Palatino Linotype" w:cs="Arial"/>
              <w:sz w:val="14"/>
              <w:szCs w:val="22"/>
            </w:rPr>
          </w:pPr>
          <w:r>
            <w:rPr>
              <w:rFonts w:ascii="Arial" w:hAnsi="Arial" w:eastAsia="Palatino Linotype" w:cs="Arial"/>
              <w:sz w:val="14"/>
              <w:szCs w:val="22"/>
            </w:rPr>
            <w:t xml:space="preserve"> </w:t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BUSINESS REGION GÖTEBORG – EN DEL AV GÖTEBORGS STAD I SAMARBETE MED REGIONEN</w:t>
          </w:r>
        </w:p>
        <w:p w:rsidRPr="009B4E2A" w:rsidR="00FB3384" w:rsidP="00BD0663" w:rsidRDefault="00FB3384" w14:paraId="354621CA" w14:textId="77777777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:rsidRPr="009B4E2A" w:rsidR="00FB3384" w:rsidP="00BD0663" w:rsidRDefault="00FB3384" w14:paraId="5E8B0AC3" w14:textId="77777777">
          <w:pPr>
            <w:pStyle w:val="Sidfot"/>
            <w:jc w:val="right"/>
          </w:pPr>
        </w:p>
      </w:tc>
    </w:tr>
    <w:tr w:rsidR="00FB3384" w:rsidTr="00F74766" w14:paraId="4F8A0C93" w14:textId="77777777">
      <w:tc>
        <w:tcPr>
          <w:tcW w:w="3319" w:type="dxa"/>
          <w:tcBorders>
            <w:top w:val="nil"/>
          </w:tcBorders>
        </w:tcPr>
        <w:p w:rsidRPr="00F66187" w:rsidR="00FB3384" w:rsidP="00BD0663" w:rsidRDefault="00FB3384" w14:paraId="12546A1B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:rsidR="00FB3384" w:rsidP="00BD0663" w:rsidRDefault="00FB3384" w14:paraId="4B775178" w14:textId="77777777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:rsidR="00FB3384" w:rsidP="00FB3384" w:rsidRDefault="00FB3384" w14:paraId="3B7D4342" w14:textId="77777777">
          <w:pPr>
            <w:pStyle w:val="Sidfot"/>
            <w:jc w:val="right"/>
          </w:pPr>
        </w:p>
      </w:tc>
    </w:tr>
    <w:tr w:rsidR="00FB3384" w:rsidTr="00F74766" w14:paraId="5FF5B9AE" w14:textId="77777777">
      <w:tc>
        <w:tcPr>
          <w:tcW w:w="3319" w:type="dxa"/>
          <w:tcBorders>
            <w:top w:val="nil"/>
          </w:tcBorders>
        </w:tcPr>
        <w:p w:rsidR="00FB3384" w:rsidP="00BD0663" w:rsidRDefault="00FB3384" w14:paraId="7E1135D2" w14:textId="77777777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:rsidR="00FB3384" w:rsidP="00BD0663" w:rsidRDefault="00FB3384" w14:paraId="754AB1FF" w14:textId="77777777">
          <w:pPr>
            <w:pStyle w:val="Sidfot"/>
          </w:pPr>
        </w:p>
      </w:tc>
      <w:tc>
        <w:tcPr>
          <w:tcW w:w="1954" w:type="dxa"/>
          <w:vMerge/>
          <w:tcBorders>
            <w:top w:val="nil"/>
          </w:tcBorders>
        </w:tcPr>
        <w:p w:rsidR="00FB3384" w:rsidP="00BD0663" w:rsidRDefault="00FB3384" w14:paraId="4D9B7574" w14:textId="77777777">
          <w:pPr>
            <w:pStyle w:val="Sidfot"/>
            <w:jc w:val="right"/>
          </w:pPr>
        </w:p>
      </w:tc>
    </w:tr>
  </w:tbl>
  <w:p w:rsidR="00BD0663" w:rsidRDefault="00BD0663" w14:paraId="70E1408B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B0C" w:rsidP="00BF282B" w:rsidRDefault="002B1B0C" w14:paraId="58B1F11F" w14:textId="77777777">
      <w:pPr>
        <w:spacing w:after="0" w:line="240" w:lineRule="auto"/>
      </w:pPr>
      <w:r>
        <w:separator/>
      </w:r>
    </w:p>
  </w:footnote>
  <w:footnote w:type="continuationSeparator" w:id="0">
    <w:p w:rsidR="002B1B0C" w:rsidP="00BF282B" w:rsidRDefault="002B1B0C" w14:paraId="5EF104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D59" w:rsidRDefault="00244D59" w14:paraId="06FAA3FD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45115"/>
      <w:docPartObj>
        <w:docPartGallery w:val="Page Numbers (Top of Page)"/>
        <w:docPartUnique/>
      </w:docPartObj>
    </w:sdtPr>
    <w:sdtEndPr/>
    <w:sdtContent>
      <w:p w:rsidR="00B4215B" w:rsidRDefault="00B4215B" w14:paraId="239CD83D" w14:textId="77777777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4215B" w:rsidRDefault="00B4215B" w14:paraId="53207134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555751"/>
      <w:docPartObj>
        <w:docPartGallery w:val="Page Numbers (Top of Page)"/>
        <w:docPartUnique/>
      </w:docPartObj>
    </w:sdtPr>
    <w:sdtEndPr/>
    <w:sdtContent>
      <w:p w:rsidR="00B4215B" w:rsidRDefault="00B4215B" w14:paraId="5EBAC5BA" w14:textId="77777777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74766" w:rsidRDefault="00F74766" w14:paraId="3E405ECA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5F63"/>
    <w:multiLevelType w:val="hybridMultilevel"/>
    <w:tmpl w:val="3796EF7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36FD2"/>
    <w:multiLevelType w:val="hybridMultilevel"/>
    <w:tmpl w:val="4B04672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1687F9F"/>
    <w:multiLevelType w:val="hybridMultilevel"/>
    <w:tmpl w:val="7E06119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41149">
    <w:abstractNumId w:val="9"/>
  </w:num>
  <w:num w:numId="2" w16cid:durableId="680622730">
    <w:abstractNumId w:val="5"/>
  </w:num>
  <w:num w:numId="3" w16cid:durableId="481696223">
    <w:abstractNumId w:val="3"/>
  </w:num>
  <w:num w:numId="4" w16cid:durableId="511262467">
    <w:abstractNumId w:val="4"/>
  </w:num>
  <w:num w:numId="5" w16cid:durableId="1408067977">
    <w:abstractNumId w:val="2"/>
  </w:num>
  <w:num w:numId="6" w16cid:durableId="1113668925">
    <w:abstractNumId w:val="7"/>
  </w:num>
  <w:num w:numId="7" w16cid:durableId="1031031349">
    <w:abstractNumId w:val="1"/>
  </w:num>
  <w:num w:numId="8" w16cid:durableId="497889912">
    <w:abstractNumId w:val="8"/>
  </w:num>
  <w:num w:numId="9" w16cid:durableId="1999722990">
    <w:abstractNumId w:val="6"/>
  </w:num>
  <w:num w:numId="10" w16cid:durableId="17597862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443288"/>
    <w:rsid w:val="000046E1"/>
    <w:rsid w:val="00035907"/>
    <w:rsid w:val="00043759"/>
    <w:rsid w:val="00046AF4"/>
    <w:rsid w:val="000707CC"/>
    <w:rsid w:val="000C68BA"/>
    <w:rsid w:val="000D5035"/>
    <w:rsid w:val="000F2B85"/>
    <w:rsid w:val="000F3C0C"/>
    <w:rsid w:val="0011061F"/>
    <w:rsid w:val="0011381D"/>
    <w:rsid w:val="0012181D"/>
    <w:rsid w:val="001367B3"/>
    <w:rsid w:val="00142FEF"/>
    <w:rsid w:val="00173F0C"/>
    <w:rsid w:val="00174064"/>
    <w:rsid w:val="00180385"/>
    <w:rsid w:val="00185F4E"/>
    <w:rsid w:val="001A0037"/>
    <w:rsid w:val="001C01F0"/>
    <w:rsid w:val="001C2218"/>
    <w:rsid w:val="001C3239"/>
    <w:rsid w:val="001D645F"/>
    <w:rsid w:val="001E0CE7"/>
    <w:rsid w:val="001F5CD7"/>
    <w:rsid w:val="001F6339"/>
    <w:rsid w:val="00201397"/>
    <w:rsid w:val="00213136"/>
    <w:rsid w:val="00221404"/>
    <w:rsid w:val="00230280"/>
    <w:rsid w:val="00240C1B"/>
    <w:rsid w:val="00241F59"/>
    <w:rsid w:val="00244D59"/>
    <w:rsid w:val="00257F49"/>
    <w:rsid w:val="00277F81"/>
    <w:rsid w:val="002811C7"/>
    <w:rsid w:val="00292A2D"/>
    <w:rsid w:val="00293A1F"/>
    <w:rsid w:val="00297C5E"/>
    <w:rsid w:val="002B1B0C"/>
    <w:rsid w:val="002B2AFC"/>
    <w:rsid w:val="002B5296"/>
    <w:rsid w:val="002E0E07"/>
    <w:rsid w:val="002F7048"/>
    <w:rsid w:val="00300709"/>
    <w:rsid w:val="0031106B"/>
    <w:rsid w:val="003164EC"/>
    <w:rsid w:val="00324D8E"/>
    <w:rsid w:val="00332A7F"/>
    <w:rsid w:val="003413FA"/>
    <w:rsid w:val="00350FEF"/>
    <w:rsid w:val="00352036"/>
    <w:rsid w:val="0035443A"/>
    <w:rsid w:val="00372CB4"/>
    <w:rsid w:val="00393B46"/>
    <w:rsid w:val="003A74CB"/>
    <w:rsid w:val="003C2D2E"/>
    <w:rsid w:val="003D13FA"/>
    <w:rsid w:val="004109A7"/>
    <w:rsid w:val="00414E79"/>
    <w:rsid w:val="00415151"/>
    <w:rsid w:val="00423789"/>
    <w:rsid w:val="004331CA"/>
    <w:rsid w:val="00436489"/>
    <w:rsid w:val="00436889"/>
    <w:rsid w:val="00440D30"/>
    <w:rsid w:val="00441B06"/>
    <w:rsid w:val="00443288"/>
    <w:rsid w:val="004725CB"/>
    <w:rsid w:val="00473C11"/>
    <w:rsid w:val="00476454"/>
    <w:rsid w:val="00490253"/>
    <w:rsid w:val="004A5252"/>
    <w:rsid w:val="004B287C"/>
    <w:rsid w:val="004B7591"/>
    <w:rsid w:val="004C0571"/>
    <w:rsid w:val="004C78B0"/>
    <w:rsid w:val="004F06B6"/>
    <w:rsid w:val="00521790"/>
    <w:rsid w:val="005314F6"/>
    <w:rsid w:val="00544F42"/>
    <w:rsid w:val="00545C65"/>
    <w:rsid w:val="00546944"/>
    <w:rsid w:val="005550A7"/>
    <w:rsid w:val="00556F1A"/>
    <w:rsid w:val="00562CC2"/>
    <w:rsid w:val="0057066D"/>
    <w:rsid w:val="005729A0"/>
    <w:rsid w:val="00597ACB"/>
    <w:rsid w:val="005A68A7"/>
    <w:rsid w:val="005C1094"/>
    <w:rsid w:val="005C298F"/>
    <w:rsid w:val="005C5708"/>
    <w:rsid w:val="005D3AA8"/>
    <w:rsid w:val="005E0764"/>
    <w:rsid w:val="005E6622"/>
    <w:rsid w:val="005F426C"/>
    <w:rsid w:val="005F5390"/>
    <w:rsid w:val="005F5B95"/>
    <w:rsid w:val="005F6B8F"/>
    <w:rsid w:val="00603751"/>
    <w:rsid w:val="00604611"/>
    <w:rsid w:val="006047FB"/>
    <w:rsid w:val="00611467"/>
    <w:rsid w:val="00613965"/>
    <w:rsid w:val="0063275E"/>
    <w:rsid w:val="006350F7"/>
    <w:rsid w:val="00637964"/>
    <w:rsid w:val="00652E86"/>
    <w:rsid w:val="00673DB8"/>
    <w:rsid w:val="006839B4"/>
    <w:rsid w:val="00690A7F"/>
    <w:rsid w:val="006945D3"/>
    <w:rsid w:val="006A6BEC"/>
    <w:rsid w:val="006B7D96"/>
    <w:rsid w:val="006F1BBA"/>
    <w:rsid w:val="006F1DFA"/>
    <w:rsid w:val="006F4591"/>
    <w:rsid w:val="00700AAF"/>
    <w:rsid w:val="0070586B"/>
    <w:rsid w:val="00710106"/>
    <w:rsid w:val="00717DEA"/>
    <w:rsid w:val="00720B05"/>
    <w:rsid w:val="00761FB9"/>
    <w:rsid w:val="00766929"/>
    <w:rsid w:val="00770200"/>
    <w:rsid w:val="00776E7A"/>
    <w:rsid w:val="00780A35"/>
    <w:rsid w:val="00784BF8"/>
    <w:rsid w:val="00786265"/>
    <w:rsid w:val="007B6715"/>
    <w:rsid w:val="007D03B0"/>
    <w:rsid w:val="007E234D"/>
    <w:rsid w:val="007F1268"/>
    <w:rsid w:val="00831E91"/>
    <w:rsid w:val="0086322C"/>
    <w:rsid w:val="00874CAC"/>
    <w:rsid w:val="00875DBE"/>
    <w:rsid w:val="008760F6"/>
    <w:rsid w:val="008B0468"/>
    <w:rsid w:val="008B5328"/>
    <w:rsid w:val="008C0D34"/>
    <w:rsid w:val="008C2B93"/>
    <w:rsid w:val="008C7067"/>
    <w:rsid w:val="008D6C58"/>
    <w:rsid w:val="008E5D57"/>
    <w:rsid w:val="008E79D5"/>
    <w:rsid w:val="009003DD"/>
    <w:rsid w:val="0090227D"/>
    <w:rsid w:val="00902B10"/>
    <w:rsid w:val="0091498D"/>
    <w:rsid w:val="009305B3"/>
    <w:rsid w:val="00931374"/>
    <w:rsid w:val="009433F3"/>
    <w:rsid w:val="009456AF"/>
    <w:rsid w:val="00961846"/>
    <w:rsid w:val="00974E64"/>
    <w:rsid w:val="00984288"/>
    <w:rsid w:val="009842F1"/>
    <w:rsid w:val="00985ACB"/>
    <w:rsid w:val="009970AF"/>
    <w:rsid w:val="009B4E2A"/>
    <w:rsid w:val="009B54C2"/>
    <w:rsid w:val="009B68FB"/>
    <w:rsid w:val="009C227B"/>
    <w:rsid w:val="009C2599"/>
    <w:rsid w:val="009C2A33"/>
    <w:rsid w:val="009D0B6A"/>
    <w:rsid w:val="009D4D5C"/>
    <w:rsid w:val="009D765D"/>
    <w:rsid w:val="009F0C22"/>
    <w:rsid w:val="009F7400"/>
    <w:rsid w:val="00A01C4F"/>
    <w:rsid w:val="00A02C16"/>
    <w:rsid w:val="00A074B5"/>
    <w:rsid w:val="00A24E5C"/>
    <w:rsid w:val="00A2589C"/>
    <w:rsid w:val="00A31F82"/>
    <w:rsid w:val="00A345C1"/>
    <w:rsid w:val="00A3668C"/>
    <w:rsid w:val="00A4357E"/>
    <w:rsid w:val="00A47AD9"/>
    <w:rsid w:val="00A60054"/>
    <w:rsid w:val="00A65785"/>
    <w:rsid w:val="00A7163B"/>
    <w:rsid w:val="00A8112E"/>
    <w:rsid w:val="00AA0284"/>
    <w:rsid w:val="00AB0164"/>
    <w:rsid w:val="00AC674A"/>
    <w:rsid w:val="00AC7380"/>
    <w:rsid w:val="00AD3699"/>
    <w:rsid w:val="00AD421F"/>
    <w:rsid w:val="00AE276A"/>
    <w:rsid w:val="00AE5147"/>
    <w:rsid w:val="00AE5F41"/>
    <w:rsid w:val="00B30CFF"/>
    <w:rsid w:val="00B32CC0"/>
    <w:rsid w:val="00B353ED"/>
    <w:rsid w:val="00B37DF3"/>
    <w:rsid w:val="00B4215B"/>
    <w:rsid w:val="00B456FF"/>
    <w:rsid w:val="00B46B48"/>
    <w:rsid w:val="00B62578"/>
    <w:rsid w:val="00B63E0E"/>
    <w:rsid w:val="00B65DEC"/>
    <w:rsid w:val="00BA106E"/>
    <w:rsid w:val="00BA1320"/>
    <w:rsid w:val="00BA615D"/>
    <w:rsid w:val="00BC5A4E"/>
    <w:rsid w:val="00BD0663"/>
    <w:rsid w:val="00BF282B"/>
    <w:rsid w:val="00C0363D"/>
    <w:rsid w:val="00C05F1F"/>
    <w:rsid w:val="00C06DEA"/>
    <w:rsid w:val="00C25299"/>
    <w:rsid w:val="00C26589"/>
    <w:rsid w:val="00C30192"/>
    <w:rsid w:val="00C62500"/>
    <w:rsid w:val="00C85A21"/>
    <w:rsid w:val="00C9201A"/>
    <w:rsid w:val="00C9312B"/>
    <w:rsid w:val="00CA6A31"/>
    <w:rsid w:val="00CE63B3"/>
    <w:rsid w:val="00CF46E7"/>
    <w:rsid w:val="00D067BC"/>
    <w:rsid w:val="00D17947"/>
    <w:rsid w:val="00D21D96"/>
    <w:rsid w:val="00D22966"/>
    <w:rsid w:val="00D92381"/>
    <w:rsid w:val="00D961B5"/>
    <w:rsid w:val="00DA1AEE"/>
    <w:rsid w:val="00DB544F"/>
    <w:rsid w:val="00DC59E4"/>
    <w:rsid w:val="00DC6E79"/>
    <w:rsid w:val="00DE000F"/>
    <w:rsid w:val="00DF152D"/>
    <w:rsid w:val="00E07F6E"/>
    <w:rsid w:val="00E11731"/>
    <w:rsid w:val="00E13F27"/>
    <w:rsid w:val="00E24D89"/>
    <w:rsid w:val="00E449FB"/>
    <w:rsid w:val="00E450CB"/>
    <w:rsid w:val="00E46FE6"/>
    <w:rsid w:val="00E538C0"/>
    <w:rsid w:val="00E54DEA"/>
    <w:rsid w:val="00E90664"/>
    <w:rsid w:val="00E90B45"/>
    <w:rsid w:val="00E91C73"/>
    <w:rsid w:val="00E92E25"/>
    <w:rsid w:val="00EA4A38"/>
    <w:rsid w:val="00EB0547"/>
    <w:rsid w:val="00EB5336"/>
    <w:rsid w:val="00EC56C9"/>
    <w:rsid w:val="00ED1E92"/>
    <w:rsid w:val="00EF3838"/>
    <w:rsid w:val="00EF388D"/>
    <w:rsid w:val="00EF75C2"/>
    <w:rsid w:val="00F11001"/>
    <w:rsid w:val="00F11108"/>
    <w:rsid w:val="00F279BF"/>
    <w:rsid w:val="00F40AEA"/>
    <w:rsid w:val="00F4117C"/>
    <w:rsid w:val="00F57712"/>
    <w:rsid w:val="00F57801"/>
    <w:rsid w:val="00F615DC"/>
    <w:rsid w:val="00F63F68"/>
    <w:rsid w:val="00F66187"/>
    <w:rsid w:val="00F74766"/>
    <w:rsid w:val="00F77F62"/>
    <w:rsid w:val="00F84B89"/>
    <w:rsid w:val="00FA0781"/>
    <w:rsid w:val="00FB3384"/>
    <w:rsid w:val="00FC48B1"/>
    <w:rsid w:val="00FC7A03"/>
    <w:rsid w:val="00FD6C52"/>
    <w:rsid w:val="00FE131E"/>
    <w:rsid w:val="00FF6473"/>
    <w:rsid w:val="108A3DE0"/>
    <w:rsid w:val="2892E80F"/>
    <w:rsid w:val="3329D853"/>
    <w:rsid w:val="4202F94C"/>
    <w:rsid w:val="50C6B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40078"/>
  <w15:docId w15:val="{A76BAE5B-EB4D-4527-81B3-73E8635B7F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3164EC"/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350FE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350FEF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350FEF"/>
    <w:rPr>
      <w:rFonts w:asciiTheme="majorHAnsi" w:hAnsiTheme="majorHAnsi" w:eastAsiaTheme="majorEastAsia" w:cstheme="majorBidi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350FEF"/>
    <w:rPr>
      <w:rFonts w:asciiTheme="majorHAnsi" w:hAnsiTheme="majorHAnsi" w:eastAsiaTheme="majorEastAsia" w:cstheme="majorBidi"/>
      <w:i/>
      <w:iCs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350FEF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350FEF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473C11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styleId="SidhuvudChar" w:customStyle="1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</w:rPr>
      <w:tblPr/>
      <w:trPr>
        <w:tblHeader/>
      </w:trPr>
      <w:tcPr>
        <w:shd w:val="clear" w:color="auto" w:fill="EDEBE3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A4DAD9" w:themeColor="hyperlink"/>
      <w:u w:val="single"/>
    </w:rPr>
  </w:style>
  <w:style w:type="paragraph" w:styleId="Faktaruta" w:customStyle="1">
    <w:name w:val="Faktaruta"/>
    <w:basedOn w:val="Normal"/>
    <w:next w:val="Normal"/>
    <w:uiPriority w:val="99"/>
    <w:qFormat/>
    <w:rsid w:val="00173F0C"/>
    <w:pPr>
      <w:pBdr>
        <w:top w:val="single" w:color="7896AE" w:themeColor="accent6" w:sz="4" w:space="6"/>
        <w:left w:val="single" w:color="7896AE" w:themeColor="accent6" w:sz="4" w:space="6"/>
        <w:bottom w:val="single" w:color="7896AE" w:themeColor="accent6" w:sz="4" w:space="6"/>
        <w:right w:val="single" w:color="7896AE" w:themeColor="accent6" w:sz="4" w:space="6"/>
      </w:pBdr>
      <w:shd w:val="clear" w:color="auto" w:fill="C8D4DE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Tid" w:customStyle="1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styleId="Dokumentinfo" w:customStyle="1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305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305B3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9305B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05B3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9305B3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C06DE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as\AppData\Roaming\Microsoft\Mallar\BRG%20beslutsunderlag%20el%20tj&#228;nsteutl&#229;tande%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E0C5B28ECB437F8B9D35B9B4152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427A3-DD48-4870-8A1C-4D1AC34E8C88}"/>
      </w:docPartPr>
      <w:docPartBody>
        <w:p xmlns:wp14="http://schemas.microsoft.com/office/word/2010/wordml" w:rsidR="00786265" w:rsidRDefault="00786265" w14:paraId="1BF62016" wp14:textId="77777777">
          <w:pPr>
            <w:pStyle w:val="94E0C5B28ECB437F8B9D35B9B4152261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2F"/>
    <w:rsid w:val="00776E7A"/>
    <w:rsid w:val="00786265"/>
    <w:rsid w:val="00B91272"/>
    <w:rsid w:val="00C1792F"/>
    <w:rsid w:val="00E4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4E0C5B28ECB437F8B9D35B9B4152261">
    <w:name w:val="94E0C5B28ECB437F8B9D35B9B4152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Anpassat 2">
      <a:dk1>
        <a:sysClr val="windowText" lastClr="000000"/>
      </a:dk1>
      <a:lt1>
        <a:sysClr val="window" lastClr="FFFFFF"/>
      </a:lt1>
      <a:dk2>
        <a:srgbClr val="1D4F78"/>
      </a:dk2>
      <a:lt2>
        <a:srgbClr val="EDEBE3"/>
      </a:lt2>
      <a:accent1>
        <a:srgbClr val="0094D8"/>
      </a:accent1>
      <a:accent2>
        <a:srgbClr val="66C1BF"/>
      </a:accent2>
      <a:accent3>
        <a:srgbClr val="FF7487"/>
      </a:accent3>
      <a:accent4>
        <a:srgbClr val="FBE85D"/>
      </a:accent4>
      <a:accent5>
        <a:srgbClr val="948AF2"/>
      </a:accent5>
      <a:accent6>
        <a:srgbClr val="7896AE"/>
      </a:accent6>
      <a:hlink>
        <a:srgbClr val="A4DAD9"/>
      </a:hlink>
      <a:folHlink>
        <a:srgbClr val="67BFE7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e8186960f5005521e42ad5b78c025e25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3df3fe5d8cb36502f41ae741024f6fd8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77900-02CA-454D-B9F5-BB5F0AA92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BRG beslutsunderlag el tjänsteutlåtande 25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BUSINESS REGION GÖTEBORG AB</dc:title>
  <dc:subject/>
  <dc:creator>Annelie Wignell</dc:creator>
  <dc:description/>
  <lastModifiedBy>Jessica Nilsson</lastModifiedBy>
  <revision>139</revision>
  <lastPrinted>2017-01-05T15:29:00.0000000Z</lastPrinted>
  <dcterms:created xsi:type="dcterms:W3CDTF">2026-01-12T10:00:00.0000000Z</dcterms:created>
  <dcterms:modified xsi:type="dcterms:W3CDTF">2026-01-29T14:32:01.0350653Z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DWP_Amnesomrade">
    <vt:lpwstr/>
  </property>
  <property fmtid="{D5CDD505-2E9C-101B-9397-08002B2CF9AE}" pid="23" name="DWP_Klassificering">
    <vt:lpwstr>3;#2.10 Informera, kommunicera och omvärldsbevaka|3ff844d2-8674-4c65-b1e3-98636430f8fd</vt:lpwstr>
  </property>
  <property fmtid="{D5CDD505-2E9C-101B-9397-08002B2CF9AE}" pid="24" name="DWP_Dokumenttyp">
    <vt:lpwstr>2;#Anvisning|d7c953c8-103e-4452-8593-2c554f2d7749</vt:lpwstr>
  </property>
  <property fmtid="{D5CDD505-2E9C-101B-9397-08002B2CF9AE}" pid="25" name="ContentTypeId">
    <vt:lpwstr>0x010100116A92000201544F9D267C49C52F4A04</vt:lpwstr>
  </property>
</Properties>
</file>