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B681D61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04F1A9D2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460C92CA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6C4C11AD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143C15D1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01DA4E7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2A4EA648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D4EF8EF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9B0AFA2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B06687" w14:paraId="69BD26E3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B06687" w14:paraId="111B4325" w14:textId="77777777" w:rsidTr="001E56ED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B06687" w14:paraId="4FBB70EE" w14:textId="77777777" w:rsidTr="00C407B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4DD620" w14:textId="45A587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131C456C" w14:textId="3CF8D341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3E3BA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2026-02-09</w:t>
                        </w:r>
                      </w:p>
                      <w:p w14:paraId="3E9FF1C3" w14:textId="4E2C4AF0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Ärende/Paragraf: </w:t>
                        </w:r>
                        <w:r w:rsidR="003E3BA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6</w:t>
                        </w:r>
                      </w:p>
                      <w:p w14:paraId="190AA227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47FB839D" w14:textId="129E943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5162A0B0" w14:textId="04988334" w:rsidR="002241FC" w:rsidRPr="00B06687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64E83100" w14:textId="77777777" w:rsidR="009D765D" w:rsidRPr="00B06687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3AACC556" w14:textId="77777777" w:rsidR="009D765D" w:rsidRPr="00B06687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B06687" w14:paraId="767F6C67" w14:textId="77777777" w:rsidTr="001E56ED">
              <w:tc>
                <w:tcPr>
                  <w:tcW w:w="9288" w:type="dxa"/>
                </w:tcPr>
                <w:p w14:paraId="5DEBA02E" w14:textId="77777777" w:rsidR="009D765D" w:rsidRPr="00B06687" w:rsidRDefault="009D765D" w:rsidP="008F713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336CF854" w14:textId="77777777" w:rsidR="009D765D" w:rsidRPr="00B06687" w:rsidRDefault="009D765D" w:rsidP="008F713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B06687" w14:paraId="2205019E" w14:textId="77777777" w:rsidTr="001E56ED">
              <w:tc>
                <w:tcPr>
                  <w:tcW w:w="9288" w:type="dxa"/>
                </w:tcPr>
                <w:p w14:paraId="116EACF9" w14:textId="77777777" w:rsidR="00E54C6C" w:rsidRPr="00B06687" w:rsidRDefault="00E54C6C" w:rsidP="008F713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DEE822E" w14:textId="77777777" w:rsidR="009D765D" w:rsidRPr="00B06687" w:rsidRDefault="009D765D" w:rsidP="008F713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351BDB3F" w14:textId="77777777" w:rsidR="000707CC" w:rsidRPr="00B06687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08B6D95B" w14:textId="77777777" w:rsidR="000707CC" w:rsidRPr="00B06687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1889C076" w14:textId="07DE1B30" w:rsidR="000046E1" w:rsidRPr="00F74766" w:rsidRDefault="00B06687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Uppföljningsrapport; Årsrapport 202</w:t>
      </w:r>
      <w:r w:rsidR="003E3BAE">
        <w:rPr>
          <w:color w:val="3B5776"/>
          <w:sz w:val="30"/>
          <w:szCs w:val="30"/>
        </w:rPr>
        <w:t>5</w:t>
      </w:r>
    </w:p>
    <w:p w14:paraId="77A93B37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663945" w14:textId="77777777" w:rsidR="00B06687" w:rsidRDefault="006F1DFA" w:rsidP="00B06687">
      <w:pPr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0046E1" w:rsidRPr="00436489">
        <w:rPr>
          <w:rFonts w:ascii="Palatino Linotype" w:eastAsiaTheme="majorEastAsia" w:hAnsi="Palatino Linotype"/>
          <w:sz w:val="24"/>
          <w:szCs w:val="28"/>
        </w:rPr>
        <w:t xml:space="preserve">styrelsen för </w:t>
      </w:r>
      <w:r w:rsidR="007E6C0F">
        <w:rPr>
          <w:rFonts w:ascii="Palatino Linotype" w:eastAsiaTheme="majorEastAsia" w:hAnsi="Palatino Linotype"/>
          <w:sz w:val="24"/>
          <w:szCs w:val="28"/>
        </w:rPr>
        <w:t>Business Region Göteborg</w:t>
      </w:r>
      <w:r w:rsidRPr="00436489">
        <w:rPr>
          <w:rFonts w:ascii="Palatino Linotype" w:eastAsiaTheme="majorEastAsia" w:hAnsi="Palatino Linotype"/>
          <w:sz w:val="24"/>
          <w:szCs w:val="28"/>
        </w:rPr>
        <w:t>:</w:t>
      </w:r>
    </w:p>
    <w:p w14:paraId="7530DCCF" w14:textId="320404A3" w:rsidR="00243F1D" w:rsidRPr="00243F1D" w:rsidRDefault="00B06687" w:rsidP="00B06687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>Att fastställa förslag till Årsrapport 202</w:t>
      </w:r>
      <w:r w:rsidR="003E3BAE">
        <w:rPr>
          <w:rFonts w:ascii="Palatino Linotype" w:eastAsiaTheme="majorEastAsia" w:hAnsi="Palatino Linotype"/>
          <w:sz w:val="24"/>
          <w:szCs w:val="28"/>
        </w:rPr>
        <w:t>5</w:t>
      </w:r>
    </w:p>
    <w:p w14:paraId="3A321E31" w14:textId="1E3D30D5" w:rsidR="000046E1" w:rsidRPr="00B4215B" w:rsidRDefault="00B06687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>
        <w:rPr>
          <w:rFonts w:ascii="Arial Black" w:hAnsi="Arial Black"/>
          <w:color w:val="3B5776"/>
          <w:sz w:val="24"/>
          <w:szCs w:val="24"/>
        </w:rPr>
        <w:br/>
      </w:r>
      <w:r w:rsidR="000046E1"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130AFA">
        <w:rPr>
          <w:rFonts w:ascii="Arial Black" w:hAnsi="Arial Black"/>
          <w:color w:val="3B5776"/>
          <w:sz w:val="24"/>
          <w:szCs w:val="24"/>
        </w:rPr>
        <w:t>/ärende</w:t>
      </w:r>
    </w:p>
    <w:p w14:paraId="7E15C898" w14:textId="4EC635C6" w:rsidR="00E449FB" w:rsidRPr="00130AFA" w:rsidRDefault="00B06687" w:rsidP="00130AFA">
      <w:pPr>
        <w:rPr>
          <w:rFonts w:ascii="Palatino Linotype" w:eastAsiaTheme="majorEastAsia" w:hAnsi="Palatino Linotype"/>
          <w:sz w:val="24"/>
          <w:szCs w:val="28"/>
        </w:rPr>
      </w:pPr>
      <w:r w:rsidRPr="005F2424">
        <w:rPr>
          <w:rFonts w:ascii="Palatino Linotype" w:eastAsiaTheme="majorEastAsia" w:hAnsi="Palatino Linotype"/>
        </w:rPr>
        <w:t xml:space="preserve">BRG lämnar uppföljningsrapporter per mars, augusti och december. Rapporteringen avser väsentlig styrinformation eller annan uppföljning i enlighet med stadens anvisningar. Rapporten inkluderar nyckeltal för utvecklingen inom personalområdet, den ekonomiska utvecklingen och vissa </w:t>
      </w:r>
      <w:r w:rsidR="00130AFA" w:rsidRPr="005F2424">
        <w:rPr>
          <w:rFonts w:ascii="Palatino Linotype" w:eastAsiaTheme="majorEastAsia" w:hAnsi="Palatino Linotype"/>
        </w:rPr>
        <w:t>särskilda</w:t>
      </w:r>
      <w:r w:rsidRPr="005F2424">
        <w:rPr>
          <w:rFonts w:ascii="Palatino Linotype" w:eastAsiaTheme="majorEastAsia" w:hAnsi="Palatino Linotype"/>
        </w:rPr>
        <w:t xml:space="preserve">/uppdrag där möjlighet finns att informera över väsentlig styrinformation eller avvikelser från plan. I rapporten finns också möjlighet att följa uppdragen och </w:t>
      </w:r>
      <w:r w:rsidR="00D416B5" w:rsidRPr="005F2424">
        <w:rPr>
          <w:rFonts w:ascii="Palatino Linotype" w:eastAsiaTheme="majorEastAsia" w:hAnsi="Palatino Linotype"/>
        </w:rPr>
        <w:t>fastställa</w:t>
      </w:r>
      <w:r w:rsidR="00770C37">
        <w:rPr>
          <w:rFonts w:ascii="Palatino Linotype" w:eastAsiaTheme="majorEastAsia" w:hAnsi="Palatino Linotype"/>
        </w:rPr>
        <w:t>nde sker av de som förklaras</w:t>
      </w:r>
      <w:r w:rsidRPr="005F2424">
        <w:rPr>
          <w:rFonts w:ascii="Palatino Linotype" w:eastAsiaTheme="majorEastAsia" w:hAnsi="Palatino Linotype"/>
        </w:rPr>
        <w:t xml:space="preserve"> fullgjorda. </w:t>
      </w:r>
      <w:r w:rsidR="00130AFA" w:rsidRPr="005F2424">
        <w:rPr>
          <w:rFonts w:ascii="Palatino Linotype" w:eastAsiaTheme="majorEastAsia" w:hAnsi="Palatino Linotype"/>
        </w:rPr>
        <w:t xml:space="preserve">Fördjupad information till styrelsen ges löpande i </w:t>
      </w:r>
      <w:r w:rsidR="005F2424">
        <w:rPr>
          <w:rFonts w:ascii="Palatino Linotype" w:eastAsiaTheme="majorEastAsia" w:hAnsi="Palatino Linotype"/>
        </w:rPr>
        <w:t>VD</w:t>
      </w:r>
      <w:r w:rsidR="00130AFA" w:rsidRPr="005F2424">
        <w:rPr>
          <w:rFonts w:ascii="Palatino Linotype" w:eastAsiaTheme="majorEastAsia" w:hAnsi="Palatino Linotype"/>
        </w:rPr>
        <w:t>-rapport</w:t>
      </w:r>
      <w:r w:rsidR="006464A6" w:rsidRPr="005F2424">
        <w:rPr>
          <w:rFonts w:ascii="Palatino Linotype" w:eastAsiaTheme="majorEastAsia" w:hAnsi="Palatino Linotype"/>
        </w:rPr>
        <w:t xml:space="preserve">. Den senaste </w:t>
      </w:r>
      <w:r w:rsidR="00130AFA" w:rsidRPr="005F2424">
        <w:rPr>
          <w:rFonts w:ascii="Palatino Linotype" w:eastAsiaTheme="majorEastAsia" w:hAnsi="Palatino Linotype"/>
        </w:rPr>
        <w:t>kommer</w:t>
      </w:r>
      <w:r w:rsidR="006464A6" w:rsidRPr="005F2424">
        <w:rPr>
          <w:rFonts w:ascii="Palatino Linotype" w:eastAsiaTheme="majorEastAsia" w:hAnsi="Palatino Linotype"/>
        </w:rPr>
        <w:t xml:space="preserve"> </w:t>
      </w:r>
      <w:r w:rsidR="00130AFA" w:rsidRPr="005F2424">
        <w:rPr>
          <w:rFonts w:ascii="Palatino Linotype" w:eastAsiaTheme="majorEastAsia" w:hAnsi="Palatino Linotype"/>
        </w:rPr>
        <w:t xml:space="preserve">ligga som bilaga till Årsrapporten. Ärendet är inte av principiell karaktär. </w:t>
      </w:r>
      <w:r w:rsidRPr="005F2424">
        <w:rPr>
          <w:rFonts w:ascii="Palatino Linotype" w:eastAsiaTheme="majorEastAsia" w:hAnsi="Palatino Linotype"/>
        </w:rPr>
        <w:t xml:space="preserve"> </w:t>
      </w:r>
      <w:r w:rsidRPr="005F2424">
        <w:rPr>
          <w:rFonts w:ascii="Palatino Linotype" w:eastAsiaTheme="majorEastAsia" w:hAnsi="Palatino Linotype"/>
        </w:rPr>
        <w:br/>
      </w:r>
      <w:r>
        <w:rPr>
          <w:rFonts w:ascii="Palatino Linotype" w:eastAsiaTheme="majorEastAsia" w:hAnsi="Palatino Linotype"/>
          <w:sz w:val="24"/>
          <w:szCs w:val="28"/>
        </w:rPr>
        <w:br/>
      </w:r>
      <w:r w:rsidR="00E449FB" w:rsidRPr="00B4215B">
        <w:rPr>
          <w:rFonts w:ascii="Arial Black" w:hAnsi="Arial Black"/>
          <w:color w:val="3B5776"/>
          <w:sz w:val="24"/>
        </w:rPr>
        <w:t>Bedömning ur ekonomisk</w:t>
      </w:r>
      <w:r w:rsidR="00130AFA">
        <w:rPr>
          <w:rFonts w:ascii="Arial Black" w:hAnsi="Arial Black"/>
          <w:color w:val="3B5776"/>
          <w:sz w:val="24"/>
        </w:rPr>
        <w:t>, ekologisk och social</w:t>
      </w:r>
      <w:r w:rsidR="00E449FB" w:rsidRPr="00B4215B">
        <w:rPr>
          <w:rFonts w:ascii="Arial Black" w:hAnsi="Arial Black"/>
          <w:color w:val="3B5776"/>
          <w:sz w:val="24"/>
        </w:rPr>
        <w:t xml:space="preserve"> dimension</w:t>
      </w:r>
      <w:r w:rsidR="00130AFA">
        <w:rPr>
          <w:rFonts w:ascii="Arial Black" w:hAnsi="Arial Black"/>
          <w:color w:val="3B5776"/>
          <w:sz w:val="24"/>
        </w:rPr>
        <w:br/>
      </w:r>
      <w:r w:rsidR="00E449FB" w:rsidRPr="005F2424">
        <w:rPr>
          <w:rFonts w:ascii="Palatino Linotype" w:eastAsiaTheme="majorEastAsia" w:hAnsi="Palatino Linotype"/>
        </w:rPr>
        <w:t>Bolaget har inte funnit några särskilda aspekter på frågan utifrån de</w:t>
      </w:r>
      <w:r w:rsidR="00130AFA" w:rsidRPr="005F2424">
        <w:rPr>
          <w:rFonts w:ascii="Palatino Linotype" w:eastAsiaTheme="majorEastAsia" w:hAnsi="Palatino Linotype"/>
        </w:rPr>
        <w:t>ssa</w:t>
      </w:r>
      <w:r w:rsidR="00E449FB" w:rsidRPr="005F2424">
        <w:rPr>
          <w:rFonts w:ascii="Palatino Linotype" w:eastAsiaTheme="majorEastAsia" w:hAnsi="Palatino Linotype"/>
        </w:rPr>
        <w:t xml:space="preserve"> dimension</w:t>
      </w:r>
      <w:r w:rsidR="00130AFA" w:rsidRPr="005F2424">
        <w:rPr>
          <w:rFonts w:ascii="Palatino Linotype" w:eastAsiaTheme="majorEastAsia" w:hAnsi="Palatino Linotype"/>
        </w:rPr>
        <w:t>er</w:t>
      </w:r>
    </w:p>
    <w:p w14:paraId="4E80570A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5CE0D3BF" w14:textId="0085EDF5" w:rsidR="006839B4" w:rsidRPr="005F2424" w:rsidRDefault="006839B4" w:rsidP="006839B4">
      <w:pPr>
        <w:rPr>
          <w:rFonts w:ascii="Palatino Linotype" w:eastAsiaTheme="majorEastAsia" w:hAnsi="Palatino Linotype"/>
        </w:rPr>
      </w:pPr>
      <w:r w:rsidRPr="005F2424">
        <w:rPr>
          <w:rFonts w:ascii="Palatino Linotype" w:eastAsiaTheme="majorEastAsia" w:hAnsi="Palatino Linotype"/>
        </w:rPr>
        <w:t>1.</w:t>
      </w:r>
      <w:r w:rsidRPr="005F2424">
        <w:rPr>
          <w:rFonts w:ascii="Palatino Linotype" w:eastAsiaTheme="majorEastAsia" w:hAnsi="Palatino Linotype"/>
        </w:rPr>
        <w:tab/>
      </w:r>
      <w:r w:rsidR="00130AFA" w:rsidRPr="005F2424">
        <w:rPr>
          <w:rFonts w:ascii="Palatino Linotype" w:eastAsiaTheme="majorEastAsia" w:hAnsi="Palatino Linotype"/>
        </w:rPr>
        <w:t>Årsrapport 202</w:t>
      </w:r>
      <w:r w:rsidR="00770C37">
        <w:rPr>
          <w:rFonts w:ascii="Palatino Linotype" w:eastAsiaTheme="majorEastAsia" w:hAnsi="Palatino Linotype"/>
        </w:rPr>
        <w:t>5</w:t>
      </w:r>
      <w:r w:rsidR="00130AFA" w:rsidRPr="005F2424">
        <w:rPr>
          <w:rFonts w:ascii="Palatino Linotype" w:eastAsiaTheme="majorEastAsia" w:hAnsi="Palatino Linotype"/>
        </w:rPr>
        <w:t xml:space="preserve"> (VD-rapport</w:t>
      </w:r>
      <w:r w:rsidR="005F2424">
        <w:rPr>
          <w:rFonts w:ascii="Palatino Linotype" w:eastAsiaTheme="majorEastAsia" w:hAnsi="Palatino Linotype"/>
        </w:rPr>
        <w:t xml:space="preserve"> </w:t>
      </w:r>
      <w:r w:rsidR="00A0672B">
        <w:rPr>
          <w:rFonts w:ascii="Palatino Linotype" w:eastAsiaTheme="majorEastAsia" w:hAnsi="Palatino Linotype"/>
        </w:rPr>
        <w:t>2</w:t>
      </w:r>
      <w:r w:rsidR="00770C37">
        <w:rPr>
          <w:rFonts w:ascii="Palatino Linotype" w:eastAsiaTheme="majorEastAsia" w:hAnsi="Palatino Linotype"/>
        </w:rPr>
        <w:t>60209</w:t>
      </w:r>
      <w:r w:rsidR="00A0672B">
        <w:rPr>
          <w:rFonts w:ascii="Palatino Linotype" w:eastAsiaTheme="majorEastAsia" w:hAnsi="Palatino Linotype"/>
        </w:rPr>
        <w:t xml:space="preserve"> </w:t>
      </w:r>
      <w:r w:rsidR="005F2424">
        <w:rPr>
          <w:rFonts w:ascii="Palatino Linotype" w:eastAsiaTheme="majorEastAsia" w:hAnsi="Palatino Linotype"/>
        </w:rPr>
        <w:t>biläggs</w:t>
      </w:r>
      <w:r w:rsidR="00130AFA" w:rsidRPr="005F2424">
        <w:rPr>
          <w:rFonts w:ascii="Palatino Linotype" w:eastAsiaTheme="majorEastAsia" w:hAnsi="Palatino Linotype"/>
        </w:rPr>
        <w:t>)</w:t>
      </w:r>
    </w:p>
    <w:p w14:paraId="401BA8B2" w14:textId="25457E07" w:rsidR="00CC7D3C" w:rsidRPr="005F2424" w:rsidRDefault="002A28AC" w:rsidP="000046E1">
      <w:pPr>
        <w:rPr>
          <w:rFonts w:ascii="Palatino Linotype" w:hAnsi="Palatino Linotype"/>
        </w:rPr>
      </w:pPr>
      <w:r w:rsidRPr="005F2424">
        <w:rPr>
          <w:rFonts w:ascii="Palatino Linotype" w:hAnsi="Palatino Linotype"/>
        </w:rPr>
        <w:br/>
      </w:r>
      <w:r w:rsidR="00CC7D3C" w:rsidRPr="005F2424">
        <w:rPr>
          <w:rFonts w:ascii="Palatino Linotype" w:hAnsi="Palatino Linotype"/>
        </w:rPr>
        <w:t>Patrik Andersson</w:t>
      </w:r>
    </w:p>
    <w:p w14:paraId="002387D7" w14:textId="77777777" w:rsidR="00CC7D3C" w:rsidRPr="005F2424" w:rsidRDefault="00CC7D3C" w:rsidP="000046E1">
      <w:pPr>
        <w:rPr>
          <w:rFonts w:ascii="Palatino Linotype" w:hAnsi="Palatino Linotype"/>
        </w:rPr>
      </w:pPr>
      <w:r w:rsidRPr="005F2424">
        <w:rPr>
          <w:rFonts w:ascii="Palatino Linotype" w:hAnsi="Palatino Linotype"/>
        </w:rPr>
        <w:t>Vd, Business Region Göteborg AB</w:t>
      </w:r>
    </w:p>
    <w:sectPr w:rsidR="00CC7D3C" w:rsidRPr="005F2424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66A1" w14:textId="77777777" w:rsidR="0068396B" w:rsidRDefault="0068396B" w:rsidP="00BF282B">
      <w:pPr>
        <w:spacing w:after="0" w:line="240" w:lineRule="auto"/>
      </w:pPr>
      <w:r>
        <w:separator/>
      </w:r>
    </w:p>
  </w:endnote>
  <w:endnote w:type="continuationSeparator" w:id="0">
    <w:p w14:paraId="123482F1" w14:textId="77777777" w:rsidR="0068396B" w:rsidRDefault="0068396B" w:rsidP="00BF282B">
      <w:pPr>
        <w:spacing w:after="0" w:line="240" w:lineRule="auto"/>
      </w:pPr>
      <w:r>
        <w:continuationSeparator/>
      </w:r>
    </w:p>
  </w:endnote>
  <w:endnote w:type="continuationNotice" w:id="1">
    <w:p w14:paraId="4B4297D7" w14:textId="77777777" w:rsidR="0068396B" w:rsidRDefault="00683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FB131A2" w14:textId="77777777" w:rsidTr="00EA4A38">
      <w:tc>
        <w:tcPr>
          <w:tcW w:w="7155" w:type="dxa"/>
          <w:gridSpan w:val="2"/>
          <w:tcBorders>
            <w:top w:val="nil"/>
          </w:tcBorders>
        </w:tcPr>
        <w:p w14:paraId="1F283945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6529CD2D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21D9EDAA" w14:textId="77777777" w:rsidTr="00EA4A38">
      <w:tc>
        <w:tcPr>
          <w:tcW w:w="3338" w:type="dxa"/>
          <w:tcBorders>
            <w:top w:val="nil"/>
          </w:tcBorders>
        </w:tcPr>
        <w:p w14:paraId="1BC9D81D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29749638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8B3B955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31B7C226" w14:textId="77777777" w:rsidTr="00EA4A38">
      <w:tc>
        <w:tcPr>
          <w:tcW w:w="3338" w:type="dxa"/>
          <w:tcBorders>
            <w:top w:val="nil"/>
          </w:tcBorders>
        </w:tcPr>
        <w:p w14:paraId="407F48EE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6E1DB8CF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0547E20D" w14:textId="77777777" w:rsidR="00F66187" w:rsidRDefault="00F66187" w:rsidP="00EA4A38">
          <w:pPr>
            <w:pStyle w:val="Sidfot"/>
            <w:jc w:val="right"/>
          </w:pPr>
        </w:p>
      </w:tc>
    </w:tr>
  </w:tbl>
  <w:p w14:paraId="719FF2D6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9035F80" wp14:editId="3173661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C20F74A" w14:textId="77777777" w:rsidTr="00F74766">
      <w:tc>
        <w:tcPr>
          <w:tcW w:w="7118" w:type="dxa"/>
          <w:gridSpan w:val="2"/>
          <w:tcBorders>
            <w:top w:val="nil"/>
          </w:tcBorders>
        </w:tcPr>
        <w:p w14:paraId="54D51CE8" w14:textId="77777777" w:rsidR="00F74766" w:rsidRPr="00F74766" w:rsidRDefault="00546D8F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0EC2E22D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56B8F6B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6A69E91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20BA8E" wp14:editId="09A19B87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51722744" w14:textId="77777777" w:rsidTr="00F74766">
      <w:tc>
        <w:tcPr>
          <w:tcW w:w="3319" w:type="dxa"/>
          <w:tcBorders>
            <w:top w:val="nil"/>
          </w:tcBorders>
        </w:tcPr>
        <w:p w14:paraId="17BBD87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1C6BBCA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6C31E6DA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2ADEDE1" w14:textId="77777777" w:rsidTr="4D534CDD">
      <w:tc>
        <w:tcPr>
          <w:tcW w:w="3319" w:type="dxa"/>
          <w:tcBorders>
            <w:top w:val="nil"/>
          </w:tcBorders>
        </w:tcPr>
        <w:p w14:paraId="23592F1A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2F70B24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174A36B" w14:textId="77777777" w:rsidR="00FB3384" w:rsidRDefault="00FB3384" w:rsidP="00BD0663">
          <w:pPr>
            <w:pStyle w:val="Sidfot"/>
            <w:jc w:val="right"/>
          </w:pPr>
        </w:p>
      </w:tc>
    </w:tr>
  </w:tbl>
  <w:p w14:paraId="258B9872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2D6F" w14:textId="77777777" w:rsidR="0068396B" w:rsidRDefault="0068396B" w:rsidP="00BF282B">
      <w:pPr>
        <w:spacing w:after="0" w:line="240" w:lineRule="auto"/>
      </w:pPr>
      <w:r>
        <w:separator/>
      </w:r>
    </w:p>
  </w:footnote>
  <w:footnote w:type="continuationSeparator" w:id="0">
    <w:p w14:paraId="09EC24E7" w14:textId="77777777" w:rsidR="0068396B" w:rsidRDefault="0068396B" w:rsidP="00BF282B">
      <w:pPr>
        <w:spacing w:after="0" w:line="240" w:lineRule="auto"/>
      </w:pPr>
      <w:r>
        <w:continuationSeparator/>
      </w:r>
    </w:p>
  </w:footnote>
  <w:footnote w:type="continuationNotice" w:id="1">
    <w:p w14:paraId="7C185ED6" w14:textId="77777777" w:rsidR="0068396B" w:rsidRDefault="006839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A5EDF6A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4ADE3EA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HAns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4"/>
      </w:rPr>
    </w:sdtEndPr>
    <w:sdtContent>
      <w:p w14:paraId="00B4F9F3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39E57CCD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7649">
    <w:abstractNumId w:val="6"/>
  </w:num>
  <w:num w:numId="2" w16cid:durableId="1321737098">
    <w:abstractNumId w:val="4"/>
  </w:num>
  <w:num w:numId="3" w16cid:durableId="1852065850">
    <w:abstractNumId w:val="2"/>
  </w:num>
  <w:num w:numId="4" w16cid:durableId="947009687">
    <w:abstractNumId w:val="3"/>
  </w:num>
  <w:num w:numId="5" w16cid:durableId="1304042943">
    <w:abstractNumId w:val="1"/>
  </w:num>
  <w:num w:numId="6" w16cid:durableId="160629725">
    <w:abstractNumId w:val="5"/>
  </w:num>
  <w:num w:numId="7" w16cid:durableId="2087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06687"/>
    <w:rsid w:val="000046E1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30AFA"/>
    <w:rsid w:val="00142FEF"/>
    <w:rsid w:val="00144A49"/>
    <w:rsid w:val="00153B6E"/>
    <w:rsid w:val="00173F0C"/>
    <w:rsid w:val="001C2218"/>
    <w:rsid w:val="001D645F"/>
    <w:rsid w:val="001E56ED"/>
    <w:rsid w:val="002241FC"/>
    <w:rsid w:val="00230280"/>
    <w:rsid w:val="00241F59"/>
    <w:rsid w:val="00243F1D"/>
    <w:rsid w:val="00257F49"/>
    <w:rsid w:val="00277F81"/>
    <w:rsid w:val="00291BE0"/>
    <w:rsid w:val="00297C5E"/>
    <w:rsid w:val="002A28AC"/>
    <w:rsid w:val="002B2AFC"/>
    <w:rsid w:val="00311AF1"/>
    <w:rsid w:val="003164EC"/>
    <w:rsid w:val="00324D8E"/>
    <w:rsid w:val="00332A7F"/>
    <w:rsid w:val="003413FA"/>
    <w:rsid w:val="00350FEF"/>
    <w:rsid w:val="00364896"/>
    <w:rsid w:val="00372CB4"/>
    <w:rsid w:val="003B4714"/>
    <w:rsid w:val="003E1C65"/>
    <w:rsid w:val="003E3BAE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3417A"/>
    <w:rsid w:val="00545C65"/>
    <w:rsid w:val="00546D8F"/>
    <w:rsid w:val="005729A0"/>
    <w:rsid w:val="00592351"/>
    <w:rsid w:val="00597ACB"/>
    <w:rsid w:val="005A3472"/>
    <w:rsid w:val="005B0BD0"/>
    <w:rsid w:val="005E0764"/>
    <w:rsid w:val="005E6622"/>
    <w:rsid w:val="005F2424"/>
    <w:rsid w:val="005F3ECC"/>
    <w:rsid w:val="005F5390"/>
    <w:rsid w:val="00603751"/>
    <w:rsid w:val="00613965"/>
    <w:rsid w:val="006350F7"/>
    <w:rsid w:val="006464A6"/>
    <w:rsid w:val="00654ADA"/>
    <w:rsid w:val="0067141B"/>
    <w:rsid w:val="00673DB8"/>
    <w:rsid w:val="0068396B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32F6D"/>
    <w:rsid w:val="00746CAD"/>
    <w:rsid w:val="00766929"/>
    <w:rsid w:val="00770200"/>
    <w:rsid w:val="00770C37"/>
    <w:rsid w:val="007A447B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E5D57"/>
    <w:rsid w:val="008F7136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672B"/>
    <w:rsid w:val="00A074B5"/>
    <w:rsid w:val="00A24374"/>
    <w:rsid w:val="00A31F82"/>
    <w:rsid w:val="00A345C1"/>
    <w:rsid w:val="00A3668C"/>
    <w:rsid w:val="00A412C3"/>
    <w:rsid w:val="00A44549"/>
    <w:rsid w:val="00A47AD9"/>
    <w:rsid w:val="00A73C36"/>
    <w:rsid w:val="00A8112E"/>
    <w:rsid w:val="00A86E56"/>
    <w:rsid w:val="00AA0284"/>
    <w:rsid w:val="00AB0164"/>
    <w:rsid w:val="00AB1F91"/>
    <w:rsid w:val="00AD421F"/>
    <w:rsid w:val="00AE5147"/>
    <w:rsid w:val="00AE5F41"/>
    <w:rsid w:val="00AF4FDF"/>
    <w:rsid w:val="00B06687"/>
    <w:rsid w:val="00B23428"/>
    <w:rsid w:val="00B30CFF"/>
    <w:rsid w:val="00B353ED"/>
    <w:rsid w:val="00B4215B"/>
    <w:rsid w:val="00B456FF"/>
    <w:rsid w:val="00B47165"/>
    <w:rsid w:val="00B63E0E"/>
    <w:rsid w:val="00B94C9B"/>
    <w:rsid w:val="00BA1320"/>
    <w:rsid w:val="00BC3912"/>
    <w:rsid w:val="00BC5A4E"/>
    <w:rsid w:val="00BD0663"/>
    <w:rsid w:val="00BF282B"/>
    <w:rsid w:val="00C0363D"/>
    <w:rsid w:val="00C0476E"/>
    <w:rsid w:val="00C2736C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D21D96"/>
    <w:rsid w:val="00D22966"/>
    <w:rsid w:val="00D416B5"/>
    <w:rsid w:val="00D831F0"/>
    <w:rsid w:val="00DA1AEE"/>
    <w:rsid w:val="00DC59E4"/>
    <w:rsid w:val="00DC6E79"/>
    <w:rsid w:val="00DF152D"/>
    <w:rsid w:val="00DF6F4E"/>
    <w:rsid w:val="00E11731"/>
    <w:rsid w:val="00E127F8"/>
    <w:rsid w:val="00E134DC"/>
    <w:rsid w:val="00E24D89"/>
    <w:rsid w:val="00E449FB"/>
    <w:rsid w:val="00E45A27"/>
    <w:rsid w:val="00E538C0"/>
    <w:rsid w:val="00E54C6C"/>
    <w:rsid w:val="00E54DEA"/>
    <w:rsid w:val="00E6226E"/>
    <w:rsid w:val="00E90B45"/>
    <w:rsid w:val="00E91C73"/>
    <w:rsid w:val="00E92E25"/>
    <w:rsid w:val="00EA4A38"/>
    <w:rsid w:val="00EB6FFB"/>
    <w:rsid w:val="00EF388D"/>
    <w:rsid w:val="00EF75C2"/>
    <w:rsid w:val="00F40AEA"/>
    <w:rsid w:val="00F4117C"/>
    <w:rsid w:val="00F57712"/>
    <w:rsid w:val="00F57801"/>
    <w:rsid w:val="00F66187"/>
    <w:rsid w:val="00F74766"/>
    <w:rsid w:val="00FA0781"/>
    <w:rsid w:val="00FB3384"/>
    <w:rsid w:val="00FF6473"/>
    <w:rsid w:val="3F1B5C5E"/>
    <w:rsid w:val="4D534CDD"/>
    <w:rsid w:val="5FA00B5F"/>
    <w:rsid w:val="630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F355"/>
  <w15:docId w15:val="{0ED5D7DE-3164-42F9-9D6E-65B8FB58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purl.org/dc/terms/"/>
    <ds:schemaRef ds:uri="c14830de-8ea5-41ee-a0d2-cef36d32dd5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59b457e-ae0d-48bb-b90e-7b883d6bd4f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48B45-DBEF-4E2C-854D-3B9311B7E708}"/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Annelie Wignell</cp:lastModifiedBy>
  <cp:revision>5</cp:revision>
  <cp:lastPrinted>2026-01-27T11:10:00Z</cp:lastPrinted>
  <dcterms:created xsi:type="dcterms:W3CDTF">2026-01-27T11:08:00Z</dcterms:created>
  <dcterms:modified xsi:type="dcterms:W3CDTF">2026-01-27T11:10:00Z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