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5E35" w14:textId="335E1FB2" w:rsidR="0013161A" w:rsidRPr="000D02F3" w:rsidRDefault="0013161A" w:rsidP="0013161A">
      <w:pPr>
        <w:pStyle w:val="Default"/>
        <w:rPr>
          <w:rFonts w:ascii="Arial" w:hAnsi="Arial" w:cs="Arial"/>
          <w:b/>
          <w:bCs/>
          <w:sz w:val="40"/>
          <w:szCs w:val="40"/>
        </w:rPr>
      </w:pPr>
      <w:bookmarkStart w:id="0" w:name="_Hlk188604278"/>
      <w:r w:rsidRPr="000D02F3">
        <w:rPr>
          <w:rFonts w:ascii="Arial" w:hAnsi="Arial" w:cs="Arial"/>
          <w:b/>
          <w:bCs/>
          <w:sz w:val="40"/>
          <w:szCs w:val="40"/>
        </w:rPr>
        <w:t xml:space="preserve">Bilaga till </w:t>
      </w:r>
      <w:proofErr w:type="gramStart"/>
      <w:r w:rsidRPr="000D02F3">
        <w:rPr>
          <w:rFonts w:ascii="Arial" w:hAnsi="Arial" w:cs="Arial"/>
          <w:b/>
          <w:bCs/>
          <w:sz w:val="40"/>
          <w:szCs w:val="40"/>
        </w:rPr>
        <w:t xml:space="preserve">delårsrapport </w:t>
      </w:r>
      <w:r w:rsidR="000D02F3" w:rsidRPr="000D02F3">
        <w:rPr>
          <w:rFonts w:ascii="Arial" w:hAnsi="Arial" w:cs="Arial"/>
          <w:b/>
          <w:bCs/>
          <w:sz w:val="40"/>
          <w:szCs w:val="40"/>
        </w:rPr>
        <w:t>mars</w:t>
      </w:r>
      <w:proofErr w:type="gramEnd"/>
      <w:r w:rsidR="000D02F3" w:rsidRPr="000D02F3">
        <w:rPr>
          <w:rFonts w:ascii="Arial" w:hAnsi="Arial" w:cs="Arial"/>
          <w:b/>
          <w:bCs/>
          <w:sz w:val="40"/>
          <w:szCs w:val="40"/>
        </w:rPr>
        <w:t xml:space="preserve"> </w:t>
      </w:r>
      <w:r w:rsidRPr="000D02F3">
        <w:rPr>
          <w:rFonts w:ascii="Arial" w:hAnsi="Arial" w:cs="Arial"/>
          <w:b/>
          <w:bCs/>
          <w:sz w:val="40"/>
          <w:szCs w:val="40"/>
        </w:rPr>
        <w:t>202</w:t>
      </w:r>
      <w:r w:rsidR="008E59E3">
        <w:rPr>
          <w:rFonts w:ascii="Arial" w:hAnsi="Arial" w:cs="Arial"/>
          <w:b/>
          <w:bCs/>
          <w:sz w:val="40"/>
          <w:szCs w:val="40"/>
        </w:rPr>
        <w:t>5</w:t>
      </w:r>
    </w:p>
    <w:p w14:paraId="145BC8D6" w14:textId="20346E92" w:rsidR="007A54EA" w:rsidRDefault="007A54EA" w:rsidP="0013161A">
      <w:pPr>
        <w:pStyle w:val="Default"/>
        <w:rPr>
          <w:b/>
          <w:bCs/>
          <w:sz w:val="23"/>
          <w:szCs w:val="23"/>
        </w:rPr>
      </w:pPr>
    </w:p>
    <w:p w14:paraId="16828CB1" w14:textId="75D97EFF" w:rsidR="007A54EA" w:rsidRPr="000D02F3" w:rsidRDefault="007A54EA" w:rsidP="0013161A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0D02F3">
        <w:rPr>
          <w:rFonts w:ascii="Arial" w:hAnsi="Arial" w:cs="Arial"/>
          <w:b/>
          <w:bCs/>
          <w:sz w:val="23"/>
          <w:szCs w:val="23"/>
        </w:rPr>
        <w:t>Uppföljning av Intern kontrollplan.</w:t>
      </w:r>
    </w:p>
    <w:p w14:paraId="791507EA" w14:textId="1671F27D" w:rsidR="0013161A" w:rsidRDefault="0013161A" w:rsidP="001316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6DD9551" w14:textId="6AD240A9" w:rsidR="0013161A" w:rsidRDefault="0013161A" w:rsidP="0013161A">
      <w:pPr>
        <w:pStyle w:val="Default"/>
        <w:rPr>
          <w:sz w:val="23"/>
          <w:szCs w:val="23"/>
        </w:rPr>
      </w:pPr>
      <w:r>
        <w:rPr>
          <w:sz w:val="22"/>
          <w:szCs w:val="22"/>
        </w:rPr>
        <w:t>Styrelsen beslutade 202</w:t>
      </w:r>
      <w:r w:rsidR="008E59E3">
        <w:rPr>
          <w:sz w:val="22"/>
          <w:szCs w:val="22"/>
        </w:rPr>
        <w:t>4</w:t>
      </w:r>
      <w:r>
        <w:rPr>
          <w:sz w:val="22"/>
          <w:szCs w:val="22"/>
        </w:rPr>
        <w:t>-11-2</w:t>
      </w:r>
      <w:r w:rsidR="008E59E3">
        <w:rPr>
          <w:sz w:val="22"/>
          <w:szCs w:val="22"/>
        </w:rPr>
        <w:t>1</w:t>
      </w:r>
      <w:r>
        <w:rPr>
          <w:sz w:val="22"/>
          <w:szCs w:val="22"/>
        </w:rPr>
        <w:t xml:space="preserve"> om samlad riskbild och intern kontrollplan för 202</w:t>
      </w:r>
      <w:r w:rsidR="008E59E3">
        <w:rPr>
          <w:sz w:val="22"/>
          <w:szCs w:val="22"/>
        </w:rPr>
        <w:t>5</w:t>
      </w:r>
      <w:r>
        <w:rPr>
          <w:sz w:val="22"/>
          <w:szCs w:val="22"/>
        </w:rPr>
        <w:t xml:space="preserve">. I </w:t>
      </w:r>
      <w:r>
        <w:rPr>
          <w:sz w:val="23"/>
          <w:szCs w:val="23"/>
        </w:rPr>
        <w:t xml:space="preserve">enlighet med kontrollplanen följer bolaget löpande upp att kontrollerna har genomförts. </w:t>
      </w:r>
    </w:p>
    <w:p w14:paraId="505B2C36" w14:textId="77777777" w:rsidR="0013161A" w:rsidRDefault="0013161A" w:rsidP="0013161A">
      <w:pPr>
        <w:pStyle w:val="Default"/>
        <w:rPr>
          <w:sz w:val="23"/>
          <w:szCs w:val="23"/>
        </w:rPr>
      </w:pPr>
    </w:p>
    <w:p w14:paraId="6DB62142" w14:textId="152DBF11" w:rsidR="0013161A" w:rsidRDefault="0013161A" w:rsidP="001316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Ett antal områden och risker ska enligt denna plan följas upp och resultatet av uppföljningen ska rapporteras till styrelsen, senast i samband med ordinarie uppföljnings - delårsrapporter. I denna rapport ska resultat av uppföljning inom följande områden beskrivas. </w:t>
      </w:r>
    </w:p>
    <w:p w14:paraId="170799AA" w14:textId="77777777" w:rsidR="0013161A" w:rsidRDefault="0013161A" w:rsidP="0013161A">
      <w:pPr>
        <w:pStyle w:val="Default"/>
        <w:rPr>
          <w:sz w:val="23"/>
          <w:szCs w:val="23"/>
        </w:rPr>
      </w:pPr>
    </w:p>
    <w:p w14:paraId="47C68E5A" w14:textId="3AB4F508" w:rsidR="000D02F3" w:rsidRDefault="000D02F3" w:rsidP="000D02F3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bookmarkStart w:id="1" w:name="_Hlk131508209"/>
      <w:r>
        <w:rPr>
          <w:sz w:val="23"/>
          <w:szCs w:val="23"/>
        </w:rPr>
        <w:t>Kompetensutveckling</w:t>
      </w:r>
    </w:p>
    <w:p w14:paraId="3F15823F" w14:textId="58DA1D07" w:rsidR="000D02F3" w:rsidRDefault="000D02F3" w:rsidP="000D02F3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Övergivna båtar</w:t>
      </w:r>
    </w:p>
    <w:p w14:paraId="11E7100B" w14:textId="644AC803" w:rsidR="0013161A" w:rsidRDefault="0013161A" w:rsidP="0013161A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Vinteruppläggning </w:t>
      </w:r>
      <w:r w:rsidR="007A54EA">
        <w:rPr>
          <w:sz w:val="23"/>
          <w:szCs w:val="23"/>
        </w:rPr>
        <w:t>beläggning</w:t>
      </w:r>
    </w:p>
    <w:p w14:paraId="22FCCE54" w14:textId="77777777" w:rsidR="00642783" w:rsidRDefault="0013161A" w:rsidP="0013161A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Andel båtar med konstaterad TBT. </w:t>
      </w:r>
    </w:p>
    <w:p w14:paraId="685F3ADA" w14:textId="5A3AA4FA" w:rsidR="0013161A" w:rsidRDefault="00642783" w:rsidP="0013161A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Stickprov fakturor</w:t>
      </w:r>
      <w:r w:rsidR="000D02F3">
        <w:rPr>
          <w:sz w:val="23"/>
          <w:szCs w:val="23"/>
        </w:rPr>
        <w:br/>
      </w:r>
    </w:p>
    <w:p w14:paraId="7956C231" w14:textId="77777777" w:rsidR="001A3499" w:rsidRPr="00642783" w:rsidRDefault="001A3499" w:rsidP="001A3499">
      <w:pPr>
        <w:autoSpaceDE w:val="0"/>
        <w:autoSpaceDN w:val="0"/>
        <w:adjustRightInd w:val="0"/>
        <w:spacing w:after="0" w:line="240" w:lineRule="auto"/>
        <w:rPr>
          <w:rFonts w:ascii="Arial Black" w:eastAsia="Calibri" w:hAnsi="Arial Black" w:cs="Verdana"/>
          <w:color w:val="000000"/>
          <w:sz w:val="24"/>
          <w:szCs w:val="24"/>
        </w:rPr>
      </w:pPr>
      <w:r w:rsidRPr="00642783">
        <w:rPr>
          <w:rFonts w:ascii="Arial Black" w:eastAsia="Calibri" w:hAnsi="Arial Black" w:cs="Verdana"/>
          <w:color w:val="000000"/>
          <w:sz w:val="24"/>
          <w:szCs w:val="24"/>
        </w:rPr>
        <w:t>Aktuell status Utbildningar 202</w:t>
      </w:r>
      <w:r>
        <w:rPr>
          <w:rFonts w:ascii="Arial Black" w:eastAsia="Calibri" w:hAnsi="Arial Black" w:cs="Verdana"/>
          <w:color w:val="000000"/>
          <w:sz w:val="24"/>
          <w:szCs w:val="24"/>
        </w:rPr>
        <w:t>4</w:t>
      </w:r>
    </w:p>
    <w:p w14:paraId="1064BB74" w14:textId="77777777" w:rsidR="001A3499" w:rsidRPr="00642783" w:rsidRDefault="001A3499" w:rsidP="001A349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4"/>
          <w:szCs w:val="24"/>
        </w:rPr>
      </w:pPr>
    </w:p>
    <w:p w14:paraId="0378091E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Grefab har i dag 20 tillsvidareanställda och 6 säsongsanställda i hamnverksamheten.</w:t>
      </w:r>
    </w:p>
    <w:p w14:paraId="2F026B50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BA45F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Målet med utbildningar som erbjuds till personalen är att skapa en personlig trygghet i dom situationer som arbetsuppgifterna kräver, förebygga skador på människor och maskiner som används. Utbildningarna skall hålla hög nivå och uppfylla arbetsmiljöverkets föreskrifter.</w:t>
      </w:r>
    </w:p>
    <w:p w14:paraId="273D8EDB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9E1FD4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Följande utbildningar har erbjudets personalen 2025</w:t>
      </w:r>
    </w:p>
    <w:p w14:paraId="7037F1A9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3EE518" w14:textId="57A415B1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Elstolpar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Genomförd 27/3</w:t>
      </w:r>
    </w:p>
    <w:p w14:paraId="60E79791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Förändringsarbete för miljön</w:t>
      </w: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Genomförd 27/3</w:t>
      </w:r>
    </w:p>
    <w:p w14:paraId="2FAE8B51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235CA5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Framtida utbildningar efter behov kommer att erbjudas under 2024</w:t>
      </w:r>
    </w:p>
    <w:p w14:paraId="25A604F4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18C467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ESA fackkunnig-Grundutbildning (grundutbildning el)</w:t>
      </w:r>
    </w:p>
    <w:p w14:paraId="6A33935C" w14:textId="77777777" w:rsidR="001A3499" w:rsidRP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499">
        <w:rPr>
          <w:rFonts w:ascii="Times New Roman" w:eastAsia="Calibri" w:hAnsi="Times New Roman" w:cs="Times New Roman"/>
          <w:color w:val="000000"/>
          <w:sz w:val="24"/>
          <w:szCs w:val="24"/>
        </w:rPr>
        <w:t>Kommunikation och konflikthantering.</w:t>
      </w:r>
    </w:p>
    <w:p w14:paraId="57A918A5" w14:textId="77777777" w:rsidR="001A3499" w:rsidRDefault="001A3499" w:rsidP="001A349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4"/>
          <w:szCs w:val="24"/>
        </w:rPr>
      </w:pPr>
    </w:p>
    <w:p w14:paraId="6A805DB0" w14:textId="77777777" w:rsidR="001A3499" w:rsidRDefault="001A3499" w:rsidP="001A3499">
      <w:pPr>
        <w:pStyle w:val="Default"/>
        <w:spacing w:after="47"/>
        <w:rPr>
          <w:sz w:val="23"/>
          <w:szCs w:val="23"/>
        </w:rPr>
      </w:pPr>
    </w:p>
    <w:bookmarkEnd w:id="1"/>
    <w:p w14:paraId="73DBDD6A" w14:textId="77777777" w:rsidR="000D02F3" w:rsidRPr="000D02F3" w:rsidRDefault="000D02F3" w:rsidP="0013161A">
      <w:pPr>
        <w:pStyle w:val="Default"/>
        <w:rPr>
          <w:sz w:val="23"/>
          <w:szCs w:val="23"/>
        </w:rPr>
      </w:pPr>
    </w:p>
    <w:p w14:paraId="0C616B8D" w14:textId="201DFA16" w:rsidR="000D02F3" w:rsidRDefault="000D02F3" w:rsidP="000D02F3">
      <w:pPr>
        <w:pStyle w:val="Default"/>
        <w:rPr>
          <w:sz w:val="23"/>
          <w:szCs w:val="23"/>
        </w:rPr>
      </w:pPr>
      <w:r w:rsidRPr="00642783">
        <w:rPr>
          <w:rFonts w:ascii="Arial Black" w:hAnsi="Arial Black"/>
          <w:b/>
          <w:bCs/>
          <w:sz w:val="23"/>
          <w:szCs w:val="23"/>
        </w:rPr>
        <w:t>Övergivna båtar</w:t>
      </w:r>
      <w:r w:rsidRPr="00642783">
        <w:rPr>
          <w:rFonts w:ascii="Arial Black" w:hAnsi="Arial Black"/>
          <w:sz w:val="23"/>
          <w:szCs w:val="23"/>
        </w:rPr>
        <w:br/>
      </w:r>
      <w:r>
        <w:rPr>
          <w:sz w:val="23"/>
          <w:szCs w:val="23"/>
        </w:rPr>
        <w:t xml:space="preserve">Grefab har skrotat </w:t>
      </w:r>
      <w:r w:rsidR="00642783">
        <w:rPr>
          <w:sz w:val="23"/>
          <w:szCs w:val="23"/>
        </w:rPr>
        <w:t>ett större antal båtar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båtar</w:t>
      </w:r>
      <w:proofErr w:type="spellEnd"/>
      <w:r>
        <w:rPr>
          <w:sz w:val="23"/>
          <w:szCs w:val="23"/>
        </w:rPr>
        <w:t xml:space="preserve"> som var övergivna i bolagets hamnar. Grefab skrotar båtar då de identifierats som okända och under ett år med märkning har bolaget</w:t>
      </w:r>
      <w:r w:rsidR="00642783">
        <w:rPr>
          <w:sz w:val="23"/>
          <w:szCs w:val="23"/>
        </w:rPr>
        <w:t xml:space="preserve"> inte</w:t>
      </w:r>
      <w:r>
        <w:rPr>
          <w:sz w:val="23"/>
          <w:szCs w:val="23"/>
        </w:rPr>
        <w:t xml:space="preserve"> kontaktats av ägare.</w:t>
      </w:r>
    </w:p>
    <w:p w14:paraId="778AE99A" w14:textId="3EB98838" w:rsidR="00642783" w:rsidRDefault="00642783" w:rsidP="000D02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Rutinen har följts</w:t>
      </w:r>
    </w:p>
    <w:p w14:paraId="20BA9987" w14:textId="77777777" w:rsidR="0013161A" w:rsidRDefault="0013161A" w:rsidP="0013161A">
      <w:pPr>
        <w:pStyle w:val="Default"/>
        <w:rPr>
          <w:b/>
          <w:bCs/>
          <w:sz w:val="23"/>
          <w:szCs w:val="23"/>
        </w:rPr>
      </w:pPr>
    </w:p>
    <w:p w14:paraId="2592B7FA" w14:textId="23BEE74A" w:rsidR="007A54EA" w:rsidRPr="00642783" w:rsidRDefault="0013161A" w:rsidP="0013161A">
      <w:pPr>
        <w:pStyle w:val="Default"/>
        <w:rPr>
          <w:rFonts w:ascii="Arial Black" w:hAnsi="Arial Black"/>
          <w:b/>
          <w:bCs/>
          <w:sz w:val="23"/>
          <w:szCs w:val="23"/>
        </w:rPr>
      </w:pPr>
      <w:r w:rsidRPr="00642783">
        <w:rPr>
          <w:rFonts w:ascii="Arial Black" w:hAnsi="Arial Black"/>
          <w:b/>
          <w:bCs/>
          <w:sz w:val="23"/>
          <w:szCs w:val="23"/>
        </w:rPr>
        <w:t>Vinteruppläggningsplatserna</w:t>
      </w:r>
      <w:r w:rsidR="007A54EA" w:rsidRPr="00642783">
        <w:rPr>
          <w:rFonts w:ascii="Arial Black" w:hAnsi="Arial Black"/>
          <w:b/>
          <w:bCs/>
          <w:sz w:val="23"/>
          <w:szCs w:val="23"/>
        </w:rPr>
        <w:t>s beläggningsgrad</w:t>
      </w:r>
    </w:p>
    <w:p w14:paraId="60AD32DE" w14:textId="20F657CB" w:rsidR="0013161A" w:rsidRPr="0013161A" w:rsidRDefault="0013161A" w:rsidP="0013161A">
      <w:pPr>
        <w:pStyle w:val="Default"/>
        <w:rPr>
          <w:b/>
          <w:bCs/>
          <w:sz w:val="23"/>
          <w:szCs w:val="23"/>
        </w:rPr>
      </w:pPr>
      <w:r w:rsidRPr="0013161A">
        <w:rPr>
          <w:b/>
          <w:bCs/>
          <w:sz w:val="23"/>
          <w:szCs w:val="23"/>
        </w:rPr>
        <w:t xml:space="preserve"> </w:t>
      </w:r>
    </w:p>
    <w:p w14:paraId="63A630F0" w14:textId="77777777" w:rsidR="008E59E3" w:rsidRPr="008E59E3" w:rsidRDefault="008E59E3" w:rsidP="008E59E3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2024/2025 - Belagda till 94% motsvarande 3672 platser</w:t>
      </w:r>
    </w:p>
    <w:p w14:paraId="3BAFCE01" w14:textId="79B04345" w:rsidR="008E59E3" w:rsidRDefault="008E59E3" w:rsidP="008E59E3">
      <w:pPr>
        <w:pStyle w:val="Default"/>
        <w:ind w:left="720"/>
        <w:rPr>
          <w:sz w:val="23"/>
          <w:szCs w:val="23"/>
        </w:rPr>
      </w:pPr>
    </w:p>
    <w:p w14:paraId="576AC54B" w14:textId="3389773A" w:rsidR="008E59E3" w:rsidRPr="008E59E3" w:rsidRDefault="00BC61EA" w:rsidP="008E59E3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2023/2024 – Belagda till 9</w:t>
      </w:r>
      <w:r w:rsidR="00FD1256">
        <w:rPr>
          <w:sz w:val="23"/>
          <w:szCs w:val="23"/>
        </w:rPr>
        <w:t>4</w:t>
      </w:r>
      <w:r>
        <w:rPr>
          <w:sz w:val="23"/>
          <w:szCs w:val="23"/>
        </w:rPr>
        <w:t xml:space="preserve">% motsvarande </w:t>
      </w:r>
      <w:r w:rsidR="00FD1256">
        <w:rPr>
          <w:sz w:val="23"/>
          <w:szCs w:val="23"/>
        </w:rPr>
        <w:t>3672 platser</w:t>
      </w:r>
    </w:p>
    <w:p w14:paraId="2EAFFC98" w14:textId="19C5E5FB" w:rsidR="00642783" w:rsidRDefault="00642783" w:rsidP="007A54EA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2022/2023 – belagda till 95%motsvarande 3783 platser</w:t>
      </w:r>
    </w:p>
    <w:p w14:paraId="0AAEA36A" w14:textId="390FD01F" w:rsidR="000D02F3" w:rsidRDefault="000D02F3" w:rsidP="007A54EA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2021/2022 – belagda till 97% motsvarande 3895 platser</w:t>
      </w:r>
    </w:p>
    <w:p w14:paraId="3C2A8597" w14:textId="74AF787F" w:rsidR="0013161A" w:rsidRDefault="007A54EA" w:rsidP="007A54EA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2020/2021 – belagda till 93% motsvarande 3714 platser</w:t>
      </w:r>
    </w:p>
    <w:p w14:paraId="6FF54F5E" w14:textId="4170F4AC" w:rsidR="0013161A" w:rsidRDefault="0013161A" w:rsidP="0013161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2019/2020 - belagda till 92%, motsvarande 3686 platser </w:t>
      </w:r>
    </w:p>
    <w:p w14:paraId="6A773238" w14:textId="27068D8C" w:rsidR="0013161A" w:rsidRDefault="0013161A" w:rsidP="0013161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2018/2019 – belagda till 95 % motsvarande 3806 platser </w:t>
      </w:r>
    </w:p>
    <w:p w14:paraId="02BB53FF" w14:textId="62D444B4" w:rsidR="0013161A" w:rsidRDefault="0013161A" w:rsidP="0013161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2017/ 2018 – belagda till 96 % motsvarande 3830 platser. </w:t>
      </w:r>
    </w:p>
    <w:p w14:paraId="06644DF0" w14:textId="77777777" w:rsidR="0013161A" w:rsidRDefault="0013161A" w:rsidP="0013161A">
      <w:pPr>
        <w:pStyle w:val="Default"/>
        <w:rPr>
          <w:sz w:val="23"/>
          <w:szCs w:val="23"/>
        </w:rPr>
      </w:pPr>
    </w:p>
    <w:p w14:paraId="65180717" w14:textId="256748E5" w:rsidR="0013161A" w:rsidRDefault="0013161A" w:rsidP="001316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Beläggningsgraden har beräknats på 4000 tillgängliga platser. Antal platser som kan erbjudas, beror på båtstorleken. </w:t>
      </w:r>
    </w:p>
    <w:p w14:paraId="766D38E1" w14:textId="038E8CC0" w:rsidR="000D02F3" w:rsidRDefault="000D02F3" w:rsidP="0013161A">
      <w:pPr>
        <w:pStyle w:val="Default"/>
        <w:rPr>
          <w:sz w:val="23"/>
          <w:szCs w:val="23"/>
        </w:rPr>
      </w:pPr>
    </w:p>
    <w:p w14:paraId="0EBA4C16" w14:textId="6DDD2EAE" w:rsidR="000D02F3" w:rsidRPr="000D02F3" w:rsidRDefault="000D02F3" w:rsidP="0013161A">
      <w:pPr>
        <w:pStyle w:val="Default"/>
        <w:rPr>
          <w:b/>
          <w:bCs/>
          <w:sz w:val="23"/>
          <w:szCs w:val="23"/>
        </w:rPr>
      </w:pPr>
      <w:r w:rsidRPr="000D02F3">
        <w:rPr>
          <w:b/>
          <w:bCs/>
          <w:sz w:val="23"/>
          <w:szCs w:val="23"/>
        </w:rPr>
        <w:t>Andel båtar med konstaterad TBT</w:t>
      </w:r>
    </w:p>
    <w:p w14:paraId="776AEA63" w14:textId="1EBCEF1B" w:rsidR="0013161A" w:rsidRPr="000D02F3" w:rsidRDefault="0013161A" w:rsidP="0013161A">
      <w:pPr>
        <w:pStyle w:val="Default"/>
        <w:rPr>
          <w:sz w:val="23"/>
          <w:szCs w:val="23"/>
        </w:rPr>
      </w:pPr>
      <w:r w:rsidRPr="000D02F3">
        <w:rPr>
          <w:sz w:val="23"/>
          <w:szCs w:val="23"/>
        </w:rPr>
        <w:t>Grefab har mätt halten av TBT</w:t>
      </w:r>
      <w:r w:rsidR="000D02F3" w:rsidRPr="000D02F3">
        <w:rPr>
          <w:sz w:val="23"/>
          <w:szCs w:val="23"/>
        </w:rPr>
        <w:t xml:space="preserve"> på båtbottnar i de hamnar som har uppställda båtar. Bolaget konstaterar att </w:t>
      </w:r>
      <w:r w:rsidR="00B41E15">
        <w:rPr>
          <w:sz w:val="23"/>
          <w:szCs w:val="23"/>
        </w:rPr>
        <w:t xml:space="preserve">drygt </w:t>
      </w:r>
      <w:r w:rsidR="000D02F3" w:rsidRPr="000D02F3">
        <w:rPr>
          <w:sz w:val="23"/>
          <w:szCs w:val="23"/>
        </w:rPr>
        <w:t>5 % av uppmätta båtar har konstaterat tenn i högre värden än godkänt.</w:t>
      </w:r>
    </w:p>
    <w:p w14:paraId="00F57028" w14:textId="62DC605B" w:rsidR="00642783" w:rsidRDefault="00642783" w:rsidP="0013161A"/>
    <w:p w14:paraId="7B41DC97" w14:textId="77777777" w:rsidR="00642783" w:rsidRPr="00642783" w:rsidRDefault="00642783" w:rsidP="00642783">
      <w:pPr>
        <w:spacing w:after="200" w:line="276" w:lineRule="auto"/>
        <w:rPr>
          <w:rFonts w:ascii="Arial Black" w:eastAsia="Calibri" w:hAnsi="Arial Black" w:cs="Times New Roman"/>
          <w:b/>
          <w:bCs/>
          <w:sz w:val="28"/>
          <w:szCs w:val="28"/>
        </w:rPr>
      </w:pPr>
      <w:r w:rsidRPr="00642783">
        <w:rPr>
          <w:rFonts w:ascii="Arial Black" w:eastAsia="Calibri" w:hAnsi="Arial Black" w:cs="Times New Roman"/>
          <w:b/>
          <w:bCs/>
          <w:sz w:val="28"/>
          <w:szCs w:val="28"/>
        </w:rPr>
        <w:t>Stickprovskontroll av leverantörsfakturor</w:t>
      </w:r>
    </w:p>
    <w:p w14:paraId="28B87814" w14:textId="769F535A" w:rsidR="00642783" w:rsidRPr="00642783" w:rsidRDefault="00642783" w:rsidP="006427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2783">
        <w:rPr>
          <w:rFonts w:ascii="Times New Roman" w:eastAsia="Calibri" w:hAnsi="Times New Roman" w:cs="Times New Roman"/>
          <w:sz w:val="24"/>
          <w:szCs w:val="24"/>
        </w:rPr>
        <w:t>Under perioden september 202</w:t>
      </w:r>
      <w:r w:rsidR="008E59E3">
        <w:rPr>
          <w:rFonts w:ascii="Times New Roman" w:eastAsia="Calibri" w:hAnsi="Times New Roman" w:cs="Times New Roman"/>
          <w:sz w:val="24"/>
          <w:szCs w:val="24"/>
        </w:rPr>
        <w:t>4</w:t>
      </w:r>
      <w:r w:rsidRPr="00642783">
        <w:rPr>
          <w:rFonts w:ascii="Times New Roman" w:eastAsia="Calibri" w:hAnsi="Times New Roman" w:cs="Times New Roman"/>
          <w:sz w:val="24"/>
          <w:szCs w:val="24"/>
        </w:rPr>
        <w:t xml:space="preserve"> - mars 202</w:t>
      </w:r>
      <w:r w:rsidR="008E59E3">
        <w:rPr>
          <w:rFonts w:ascii="Times New Roman" w:eastAsia="Calibri" w:hAnsi="Times New Roman" w:cs="Times New Roman"/>
          <w:sz w:val="24"/>
          <w:szCs w:val="24"/>
        </w:rPr>
        <w:t>5</w:t>
      </w:r>
      <w:r w:rsidRPr="00642783">
        <w:rPr>
          <w:rFonts w:ascii="Times New Roman" w:eastAsia="Calibri" w:hAnsi="Times New Roman" w:cs="Times New Roman"/>
          <w:sz w:val="24"/>
          <w:szCs w:val="24"/>
        </w:rPr>
        <w:t xml:space="preserve"> har ett antal betalningar till leverantörer granskats. Slumpmässigt har 2</w:t>
      </w:r>
      <w:r w:rsidR="00A1706D">
        <w:rPr>
          <w:rFonts w:ascii="Times New Roman" w:eastAsia="Calibri" w:hAnsi="Times New Roman" w:cs="Times New Roman"/>
          <w:sz w:val="24"/>
          <w:szCs w:val="24"/>
        </w:rPr>
        <w:t>0</w:t>
      </w:r>
      <w:r w:rsidRPr="00642783">
        <w:rPr>
          <w:rFonts w:ascii="Times New Roman" w:eastAsia="Calibri" w:hAnsi="Times New Roman" w:cs="Times New Roman"/>
          <w:sz w:val="24"/>
          <w:szCs w:val="24"/>
        </w:rPr>
        <w:t xml:space="preserve"> leverantörsfakturor valts ut, från olika konton och med olika belopp. Kontroll har gjorts att avtal finns med respektive leverantör, antingen Göteborgs stads ramavtal eller av Grefab tecknat avtal.  I systemet </w:t>
      </w:r>
      <w:proofErr w:type="spellStart"/>
      <w:r w:rsidRPr="00642783">
        <w:rPr>
          <w:rFonts w:ascii="Times New Roman" w:eastAsia="Calibri" w:hAnsi="Times New Roman" w:cs="Times New Roman"/>
          <w:sz w:val="24"/>
          <w:szCs w:val="24"/>
        </w:rPr>
        <w:t>Proceedo</w:t>
      </w:r>
      <w:proofErr w:type="spellEnd"/>
      <w:r w:rsidRPr="00642783">
        <w:rPr>
          <w:rFonts w:ascii="Times New Roman" w:eastAsia="Calibri" w:hAnsi="Times New Roman" w:cs="Times New Roman"/>
          <w:sz w:val="24"/>
          <w:szCs w:val="24"/>
        </w:rPr>
        <w:t xml:space="preserve">, som används för beställning och betalning, finns automatiska kontroller för attest och beloppsgräns. Granskning har också gjorts att det som levererats är förenligt med </w:t>
      </w:r>
      <w:proofErr w:type="spellStart"/>
      <w:r w:rsidRPr="00642783">
        <w:rPr>
          <w:rFonts w:ascii="Times New Roman" w:eastAsia="Calibri" w:hAnsi="Times New Roman" w:cs="Times New Roman"/>
          <w:sz w:val="24"/>
          <w:szCs w:val="24"/>
        </w:rPr>
        <w:t>Grefabs</w:t>
      </w:r>
      <w:proofErr w:type="spellEnd"/>
      <w:r w:rsidRPr="00642783">
        <w:rPr>
          <w:rFonts w:ascii="Times New Roman" w:eastAsia="Calibri" w:hAnsi="Times New Roman" w:cs="Times New Roman"/>
          <w:sz w:val="24"/>
          <w:szCs w:val="24"/>
        </w:rPr>
        <w:t xml:space="preserve"> verksamhet. Kontroll har också gjorts att belopp, som avser investering har konterats korrekt och inte belastat driftbudgeten.</w:t>
      </w:r>
    </w:p>
    <w:p w14:paraId="47E36E68" w14:textId="77777777" w:rsidR="00642783" w:rsidRPr="00642783" w:rsidRDefault="00642783" w:rsidP="006427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42783">
        <w:rPr>
          <w:rFonts w:ascii="Times New Roman" w:eastAsia="Calibri" w:hAnsi="Times New Roman" w:cs="Times New Roman"/>
          <w:sz w:val="24"/>
          <w:szCs w:val="24"/>
        </w:rPr>
        <w:t>Av nedanstående förteckning framgår vilka leverantörer, som granskats och om avtal finns med respektive leverantör, samt kommentarer. Beloppen är inklusive moms.</w:t>
      </w:r>
    </w:p>
    <w:p w14:paraId="7B0F6F22" w14:textId="77777777" w:rsidR="00642783" w:rsidRPr="00642783" w:rsidRDefault="00642783" w:rsidP="006427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276603" w14:textId="77777777" w:rsidR="00642783" w:rsidRPr="00642783" w:rsidRDefault="00642783" w:rsidP="00642783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2783">
        <w:rPr>
          <w:rFonts w:ascii="Times New Roman" w:eastAsia="Calibri" w:hAnsi="Times New Roman" w:cs="Times New Roman"/>
          <w:b/>
          <w:bCs/>
          <w:sz w:val="28"/>
          <w:szCs w:val="28"/>
        </w:rPr>
        <w:t>Leverantör         Belopp     Period Konto   Avser                  Kommentar</w:t>
      </w:r>
    </w:p>
    <w:tbl>
      <w:tblPr>
        <w:tblStyle w:val="Tabellrutnt"/>
        <w:tblW w:w="9199" w:type="dxa"/>
        <w:tblLayout w:type="fixed"/>
        <w:tblLook w:val="04A0" w:firstRow="1" w:lastRow="0" w:firstColumn="1" w:lastColumn="0" w:noHBand="0" w:noVBand="1"/>
      </w:tblPr>
      <w:tblGrid>
        <w:gridCol w:w="2072"/>
        <w:gridCol w:w="1318"/>
        <w:gridCol w:w="737"/>
        <w:gridCol w:w="738"/>
        <w:gridCol w:w="2811"/>
        <w:gridCol w:w="1523"/>
      </w:tblGrid>
      <w:tr w:rsidR="00B41E15" w:rsidRPr="00A1706D" w14:paraId="305D260D" w14:textId="77777777" w:rsidTr="000B7056">
        <w:trPr>
          <w:trHeight w:val="817"/>
        </w:trPr>
        <w:tc>
          <w:tcPr>
            <w:tcW w:w="2072" w:type="dxa"/>
          </w:tcPr>
          <w:p w14:paraId="72C3960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Hypergene</w:t>
            </w:r>
          </w:p>
        </w:tc>
        <w:tc>
          <w:tcPr>
            <w:tcW w:w="1318" w:type="dxa"/>
          </w:tcPr>
          <w:p w14:paraId="546085D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4713</w:t>
            </w:r>
          </w:p>
        </w:tc>
        <w:tc>
          <w:tcPr>
            <w:tcW w:w="737" w:type="dxa"/>
          </w:tcPr>
          <w:p w14:paraId="15FB01D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Sept-24</w:t>
            </w:r>
          </w:p>
        </w:tc>
        <w:tc>
          <w:tcPr>
            <w:tcW w:w="738" w:type="dxa"/>
          </w:tcPr>
          <w:p w14:paraId="5982573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6540</w:t>
            </w:r>
          </w:p>
        </w:tc>
        <w:tc>
          <w:tcPr>
            <w:tcW w:w="2811" w:type="dxa"/>
          </w:tcPr>
          <w:p w14:paraId="7857D49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Konsulttjänster IT, Lösningsförvaltning, projektledning</w:t>
            </w:r>
          </w:p>
        </w:tc>
        <w:tc>
          <w:tcPr>
            <w:tcW w:w="1523" w:type="dxa"/>
          </w:tcPr>
          <w:p w14:paraId="5C83338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Eget avtal</w:t>
            </w:r>
          </w:p>
        </w:tc>
      </w:tr>
      <w:tr w:rsidR="00B41E15" w:rsidRPr="00A1706D" w14:paraId="2E293A52" w14:textId="77777777" w:rsidTr="000B7056">
        <w:trPr>
          <w:trHeight w:val="541"/>
        </w:trPr>
        <w:tc>
          <w:tcPr>
            <w:tcW w:w="2072" w:type="dxa"/>
          </w:tcPr>
          <w:p w14:paraId="0089904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Alf Ericson Elektriska AB</w:t>
            </w:r>
          </w:p>
        </w:tc>
        <w:tc>
          <w:tcPr>
            <w:tcW w:w="1318" w:type="dxa"/>
          </w:tcPr>
          <w:p w14:paraId="387189B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5580</w:t>
            </w:r>
          </w:p>
        </w:tc>
        <w:tc>
          <w:tcPr>
            <w:tcW w:w="737" w:type="dxa"/>
          </w:tcPr>
          <w:p w14:paraId="76BC8CE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3A76E01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5170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7D7FF8EB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Byte av handske och kabel. Monterat personskyddsautomat till 23 a handske</w:t>
            </w:r>
          </w:p>
        </w:tc>
        <w:tc>
          <w:tcPr>
            <w:tcW w:w="1523" w:type="dxa"/>
          </w:tcPr>
          <w:p w14:paraId="317D476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Proceedo</w:t>
            </w:r>
            <w:proofErr w:type="spellEnd"/>
          </w:p>
        </w:tc>
      </w:tr>
      <w:tr w:rsidR="00B41E15" w:rsidRPr="00A1706D" w14:paraId="7D4B311F" w14:textId="77777777" w:rsidTr="000B7056">
        <w:trPr>
          <w:trHeight w:val="541"/>
        </w:trPr>
        <w:tc>
          <w:tcPr>
            <w:tcW w:w="2072" w:type="dxa"/>
          </w:tcPr>
          <w:p w14:paraId="7EAF37F3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Elis Textil </w:t>
            </w:r>
          </w:p>
        </w:tc>
        <w:tc>
          <w:tcPr>
            <w:tcW w:w="1318" w:type="dxa"/>
          </w:tcPr>
          <w:p w14:paraId="23024F2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628,90</w:t>
            </w:r>
          </w:p>
        </w:tc>
        <w:tc>
          <w:tcPr>
            <w:tcW w:w="737" w:type="dxa"/>
          </w:tcPr>
          <w:p w14:paraId="2AA357F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5772A5E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5060</w:t>
            </w:r>
          </w:p>
        </w:tc>
        <w:tc>
          <w:tcPr>
            <w:tcW w:w="2811" w:type="dxa"/>
            <w:shd w:val="clear" w:color="auto" w:fill="auto"/>
          </w:tcPr>
          <w:p w14:paraId="64535C7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Byte av mattor</w:t>
            </w:r>
          </w:p>
        </w:tc>
        <w:tc>
          <w:tcPr>
            <w:tcW w:w="1523" w:type="dxa"/>
          </w:tcPr>
          <w:p w14:paraId="6D0F415B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Proceedo</w:t>
            </w:r>
            <w:proofErr w:type="spellEnd"/>
          </w:p>
        </w:tc>
      </w:tr>
      <w:tr w:rsidR="00B41E15" w:rsidRPr="00A1706D" w14:paraId="7719BC55" w14:textId="77777777" w:rsidTr="000B7056">
        <w:trPr>
          <w:trHeight w:val="550"/>
        </w:trPr>
        <w:tc>
          <w:tcPr>
            <w:tcW w:w="2072" w:type="dxa"/>
          </w:tcPr>
          <w:p w14:paraId="48A8763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 w:rsidRPr="001452BD">
              <w:rPr>
                <w:rFonts w:eastAsia="Calibri"/>
                <w:sz w:val="16"/>
                <w:szCs w:val="16"/>
              </w:rPr>
              <w:t>Kahls</w:t>
            </w:r>
            <w:proofErr w:type="spellEnd"/>
            <w:r w:rsidRPr="001452BD">
              <w:rPr>
                <w:rFonts w:eastAsia="Calibri"/>
                <w:sz w:val="16"/>
                <w:szCs w:val="16"/>
              </w:rPr>
              <w:t xml:space="preserve"> Kaffe AB</w:t>
            </w:r>
          </w:p>
        </w:tc>
        <w:tc>
          <w:tcPr>
            <w:tcW w:w="1318" w:type="dxa"/>
          </w:tcPr>
          <w:p w14:paraId="01CBCA8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2625</w:t>
            </w:r>
          </w:p>
        </w:tc>
        <w:tc>
          <w:tcPr>
            <w:tcW w:w="737" w:type="dxa"/>
          </w:tcPr>
          <w:p w14:paraId="0224D5B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 Okt- 24</w:t>
            </w:r>
          </w:p>
        </w:tc>
        <w:tc>
          <w:tcPr>
            <w:tcW w:w="738" w:type="dxa"/>
          </w:tcPr>
          <w:p w14:paraId="5A2783F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5460</w:t>
            </w:r>
          </w:p>
        </w:tc>
        <w:tc>
          <w:tcPr>
            <w:tcW w:w="2811" w:type="dxa"/>
          </w:tcPr>
          <w:p w14:paraId="38FE1A8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Kaffe till Torslanda</w:t>
            </w:r>
          </w:p>
        </w:tc>
        <w:tc>
          <w:tcPr>
            <w:tcW w:w="1523" w:type="dxa"/>
          </w:tcPr>
          <w:p w14:paraId="074B842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Proceedo</w:t>
            </w:r>
            <w:proofErr w:type="spellEnd"/>
          </w:p>
        </w:tc>
      </w:tr>
      <w:tr w:rsidR="00B41E15" w:rsidRPr="00A1706D" w14:paraId="2ACB1E8C" w14:textId="77777777" w:rsidTr="000B7056">
        <w:trPr>
          <w:trHeight w:val="541"/>
        </w:trPr>
        <w:tc>
          <w:tcPr>
            <w:tcW w:w="2072" w:type="dxa"/>
          </w:tcPr>
          <w:p w14:paraId="315B05DC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Ahlsells</w:t>
            </w:r>
          </w:p>
        </w:tc>
        <w:tc>
          <w:tcPr>
            <w:tcW w:w="1318" w:type="dxa"/>
          </w:tcPr>
          <w:p w14:paraId="0BFCA1D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2657</w:t>
            </w:r>
          </w:p>
        </w:tc>
        <w:tc>
          <w:tcPr>
            <w:tcW w:w="737" w:type="dxa"/>
          </w:tcPr>
          <w:p w14:paraId="75DA661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568A584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5480</w:t>
            </w:r>
          </w:p>
        </w:tc>
        <w:tc>
          <w:tcPr>
            <w:tcW w:w="2811" w:type="dxa"/>
          </w:tcPr>
          <w:p w14:paraId="1469FF0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Hantverksbyxa + tryck</w:t>
            </w:r>
          </w:p>
        </w:tc>
        <w:tc>
          <w:tcPr>
            <w:tcW w:w="1523" w:type="dxa"/>
          </w:tcPr>
          <w:p w14:paraId="416A6C5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Ramavtal i </w:t>
            </w:r>
            <w:proofErr w:type="spellStart"/>
            <w:r w:rsidRPr="001452BD">
              <w:rPr>
                <w:rFonts w:eastAsia="Calibri"/>
                <w:sz w:val="16"/>
                <w:szCs w:val="16"/>
              </w:rPr>
              <w:t>Proceedo</w:t>
            </w:r>
            <w:proofErr w:type="spellEnd"/>
          </w:p>
        </w:tc>
      </w:tr>
      <w:tr w:rsidR="00B41E15" w:rsidRPr="00A1706D" w14:paraId="6FD83E91" w14:textId="77777777" w:rsidTr="000B7056">
        <w:trPr>
          <w:trHeight w:val="817"/>
        </w:trPr>
        <w:tc>
          <w:tcPr>
            <w:tcW w:w="2072" w:type="dxa"/>
          </w:tcPr>
          <w:p w14:paraId="4D5FABA3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Motivera CSR AB</w:t>
            </w:r>
          </w:p>
        </w:tc>
        <w:tc>
          <w:tcPr>
            <w:tcW w:w="1318" w:type="dxa"/>
          </w:tcPr>
          <w:p w14:paraId="6A4870B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11 250</w:t>
            </w:r>
          </w:p>
        </w:tc>
        <w:tc>
          <w:tcPr>
            <w:tcW w:w="737" w:type="dxa"/>
          </w:tcPr>
          <w:p w14:paraId="7818266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5185C05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7611</w:t>
            </w:r>
          </w:p>
        </w:tc>
        <w:tc>
          <w:tcPr>
            <w:tcW w:w="2811" w:type="dxa"/>
          </w:tcPr>
          <w:p w14:paraId="1330A6B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Traversförarutbildning, säkra lyft/last</w:t>
            </w:r>
          </w:p>
        </w:tc>
        <w:tc>
          <w:tcPr>
            <w:tcW w:w="1523" w:type="dxa"/>
          </w:tcPr>
          <w:p w14:paraId="4C799865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Alternativ saknas</w:t>
            </w:r>
          </w:p>
        </w:tc>
      </w:tr>
      <w:tr w:rsidR="00B41E15" w:rsidRPr="00A1706D" w14:paraId="1516F843" w14:textId="77777777" w:rsidTr="000B7056">
        <w:trPr>
          <w:trHeight w:val="807"/>
        </w:trPr>
        <w:tc>
          <w:tcPr>
            <w:tcW w:w="2072" w:type="dxa"/>
          </w:tcPr>
          <w:p w14:paraId="55E545B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  <w:lang w:val="de-DE"/>
              </w:rPr>
            </w:pPr>
            <w:r w:rsidRPr="001452BD">
              <w:rPr>
                <w:rFonts w:eastAsia="Calibri"/>
                <w:sz w:val="16"/>
                <w:szCs w:val="16"/>
              </w:rPr>
              <w:t>POSTNUMMERSERVICE NORDEN AB</w:t>
            </w:r>
          </w:p>
        </w:tc>
        <w:tc>
          <w:tcPr>
            <w:tcW w:w="1318" w:type="dxa"/>
          </w:tcPr>
          <w:p w14:paraId="57B1A10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6775</w:t>
            </w:r>
          </w:p>
        </w:tc>
        <w:tc>
          <w:tcPr>
            <w:tcW w:w="737" w:type="dxa"/>
          </w:tcPr>
          <w:p w14:paraId="547A7D6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Nov-24</w:t>
            </w:r>
          </w:p>
        </w:tc>
        <w:tc>
          <w:tcPr>
            <w:tcW w:w="738" w:type="dxa"/>
          </w:tcPr>
          <w:p w14:paraId="7A2AA52C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6250</w:t>
            </w:r>
          </w:p>
        </w:tc>
        <w:tc>
          <w:tcPr>
            <w:tcW w:w="2811" w:type="dxa"/>
          </w:tcPr>
          <w:p w14:paraId="510F7C6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Postnummerfilen, län, kommun</w:t>
            </w:r>
          </w:p>
        </w:tc>
        <w:tc>
          <w:tcPr>
            <w:tcW w:w="1523" w:type="dxa"/>
          </w:tcPr>
          <w:p w14:paraId="5A233E3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Alternativ saknas</w:t>
            </w:r>
          </w:p>
        </w:tc>
      </w:tr>
      <w:tr w:rsidR="00B41E15" w:rsidRPr="00A1706D" w14:paraId="01673BD2" w14:textId="77777777" w:rsidTr="000B7056">
        <w:trPr>
          <w:trHeight w:val="817"/>
        </w:trPr>
        <w:tc>
          <w:tcPr>
            <w:tcW w:w="2072" w:type="dxa"/>
          </w:tcPr>
          <w:p w14:paraId="2D3ED6D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lastRenderedPageBreak/>
              <w:t>Svenskt direkt inkasso</w:t>
            </w:r>
          </w:p>
        </w:tc>
        <w:tc>
          <w:tcPr>
            <w:tcW w:w="1318" w:type="dxa"/>
          </w:tcPr>
          <w:p w14:paraId="5EC5C2C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737" w:type="dxa"/>
          </w:tcPr>
          <w:p w14:paraId="63CE857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04E2138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2641</w:t>
            </w:r>
          </w:p>
        </w:tc>
        <w:tc>
          <w:tcPr>
            <w:tcW w:w="2811" w:type="dxa"/>
          </w:tcPr>
          <w:p w14:paraId="7013BC7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Inkassotjänster</w:t>
            </w:r>
          </w:p>
        </w:tc>
        <w:tc>
          <w:tcPr>
            <w:tcW w:w="1523" w:type="dxa"/>
          </w:tcPr>
          <w:p w14:paraId="40330C2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Avtal</w:t>
            </w:r>
          </w:p>
        </w:tc>
      </w:tr>
      <w:tr w:rsidR="00B41E15" w:rsidRPr="00A1706D" w14:paraId="56A92E06" w14:textId="77777777" w:rsidTr="000B7056">
        <w:trPr>
          <w:trHeight w:val="817"/>
        </w:trPr>
        <w:tc>
          <w:tcPr>
            <w:tcW w:w="2072" w:type="dxa"/>
          </w:tcPr>
          <w:p w14:paraId="706EAB7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  <w:lang w:val="de-DE"/>
              </w:rPr>
            </w:pPr>
            <w:r w:rsidRPr="001452BD">
              <w:rPr>
                <w:rFonts w:eastAsia="Calibri"/>
                <w:sz w:val="16"/>
                <w:szCs w:val="16"/>
                <w:lang w:val="de-DE"/>
              </w:rPr>
              <w:t>Stena Recycling AB</w:t>
            </w:r>
          </w:p>
        </w:tc>
        <w:tc>
          <w:tcPr>
            <w:tcW w:w="1318" w:type="dxa"/>
          </w:tcPr>
          <w:p w14:paraId="60B5260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2473</w:t>
            </w:r>
          </w:p>
        </w:tc>
        <w:tc>
          <w:tcPr>
            <w:tcW w:w="737" w:type="dxa"/>
          </w:tcPr>
          <w:p w14:paraId="20810E0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1202CA9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5160</w:t>
            </w:r>
          </w:p>
        </w:tc>
        <w:tc>
          <w:tcPr>
            <w:tcW w:w="2811" w:type="dxa"/>
          </w:tcPr>
          <w:p w14:paraId="10233D0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Frakt grenar, ris. Utplacering, hyra flak täckt trä, impregnerat blandat </w:t>
            </w:r>
          </w:p>
        </w:tc>
        <w:tc>
          <w:tcPr>
            <w:tcW w:w="1523" w:type="dxa"/>
          </w:tcPr>
          <w:p w14:paraId="32EA0406" w14:textId="77777777" w:rsidR="00B41E15" w:rsidRPr="00A1706D" w:rsidRDefault="00B41E15" w:rsidP="000B7056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Avtal</w:t>
            </w:r>
          </w:p>
        </w:tc>
      </w:tr>
      <w:tr w:rsidR="00B41E15" w:rsidRPr="00A1706D" w14:paraId="460DE3BE" w14:textId="77777777" w:rsidTr="000B7056">
        <w:trPr>
          <w:trHeight w:val="817"/>
        </w:trPr>
        <w:tc>
          <w:tcPr>
            <w:tcW w:w="2072" w:type="dxa"/>
          </w:tcPr>
          <w:p w14:paraId="33577FD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 w:rsidRPr="001452BD">
              <w:rPr>
                <w:rFonts w:eastAsia="Calibri"/>
                <w:sz w:val="16"/>
                <w:szCs w:val="16"/>
              </w:rPr>
              <w:t>Ramboll</w:t>
            </w:r>
            <w:proofErr w:type="spellEnd"/>
            <w:r w:rsidRPr="001452BD">
              <w:rPr>
                <w:rFonts w:eastAsia="Calibri"/>
                <w:sz w:val="16"/>
                <w:szCs w:val="16"/>
              </w:rPr>
              <w:t xml:space="preserve"> Sweden AB</w:t>
            </w:r>
          </w:p>
          <w:p w14:paraId="3ECFFE8C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</w:tcPr>
          <w:p w14:paraId="4C65177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39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1452BD">
              <w:rPr>
                <w:rFonts w:eastAsia="Calibri"/>
                <w:sz w:val="16"/>
                <w:szCs w:val="16"/>
              </w:rPr>
              <w:t>741</w:t>
            </w:r>
          </w:p>
        </w:tc>
        <w:tc>
          <w:tcPr>
            <w:tcW w:w="737" w:type="dxa"/>
          </w:tcPr>
          <w:p w14:paraId="5D427C42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Dec-24</w:t>
            </w:r>
          </w:p>
        </w:tc>
        <w:tc>
          <w:tcPr>
            <w:tcW w:w="738" w:type="dxa"/>
          </w:tcPr>
          <w:p w14:paraId="5AA5E11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1181</w:t>
            </w:r>
          </w:p>
        </w:tc>
        <w:tc>
          <w:tcPr>
            <w:tcW w:w="2811" w:type="dxa"/>
          </w:tcPr>
          <w:p w14:paraId="28BA206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Projektering Hovås, </w:t>
            </w:r>
            <w:proofErr w:type="gramStart"/>
            <w:r w:rsidRPr="001452BD">
              <w:rPr>
                <w:rFonts w:eastAsia="Calibri"/>
                <w:sz w:val="16"/>
                <w:szCs w:val="16"/>
              </w:rPr>
              <w:t>utbyte bryggor</w:t>
            </w:r>
            <w:proofErr w:type="gramEnd"/>
            <w:r w:rsidRPr="001452BD">
              <w:rPr>
                <w:rFonts w:eastAsia="Calibri"/>
                <w:sz w:val="16"/>
                <w:szCs w:val="16"/>
              </w:rPr>
              <w:t xml:space="preserve">, underhållsmuddring, kontrollprogram </w:t>
            </w:r>
          </w:p>
        </w:tc>
        <w:tc>
          <w:tcPr>
            <w:tcW w:w="1523" w:type="dxa"/>
          </w:tcPr>
          <w:p w14:paraId="0778F2F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Eget avtal</w:t>
            </w:r>
          </w:p>
        </w:tc>
      </w:tr>
      <w:tr w:rsidR="00B41E15" w:rsidRPr="00A1706D" w14:paraId="43AD9578" w14:textId="77777777" w:rsidTr="000B7056">
        <w:trPr>
          <w:trHeight w:val="541"/>
        </w:trPr>
        <w:tc>
          <w:tcPr>
            <w:tcW w:w="2072" w:type="dxa"/>
          </w:tcPr>
          <w:p w14:paraId="1DE6CD1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Miljöförvaltningen</w:t>
            </w:r>
          </w:p>
        </w:tc>
        <w:tc>
          <w:tcPr>
            <w:tcW w:w="1318" w:type="dxa"/>
          </w:tcPr>
          <w:p w14:paraId="3A568F6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5160</w:t>
            </w:r>
          </w:p>
        </w:tc>
        <w:tc>
          <w:tcPr>
            <w:tcW w:w="737" w:type="dxa"/>
          </w:tcPr>
          <w:p w14:paraId="25C7FDB2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045C4DA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6941</w:t>
            </w:r>
          </w:p>
        </w:tc>
        <w:tc>
          <w:tcPr>
            <w:tcW w:w="2811" w:type="dxa"/>
          </w:tcPr>
          <w:p w14:paraId="641B33F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Timavgift för tillsyn enligt miljöbalken</w:t>
            </w:r>
          </w:p>
        </w:tc>
        <w:tc>
          <w:tcPr>
            <w:tcW w:w="1523" w:type="dxa"/>
          </w:tcPr>
          <w:p w14:paraId="02A65F95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Förvaltning inom Göteborgs Stad</w:t>
            </w:r>
          </w:p>
        </w:tc>
      </w:tr>
      <w:tr w:rsidR="00B41E15" w:rsidRPr="00A1706D" w14:paraId="158F4A28" w14:textId="77777777" w:rsidTr="000B7056">
        <w:trPr>
          <w:trHeight w:val="817"/>
        </w:trPr>
        <w:tc>
          <w:tcPr>
            <w:tcW w:w="2072" w:type="dxa"/>
          </w:tcPr>
          <w:p w14:paraId="754BFB3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proofErr w:type="spellStart"/>
            <w:r w:rsidRPr="001452BD">
              <w:rPr>
                <w:rFonts w:eastAsia="Calibri"/>
                <w:sz w:val="16"/>
                <w:szCs w:val="16"/>
              </w:rPr>
              <w:t>Kivra</w:t>
            </w:r>
            <w:proofErr w:type="spellEnd"/>
            <w:r w:rsidRPr="001452BD">
              <w:rPr>
                <w:rFonts w:eastAsia="Calibri"/>
                <w:sz w:val="16"/>
                <w:szCs w:val="16"/>
              </w:rPr>
              <w:t xml:space="preserve"> Sverige AB</w:t>
            </w:r>
          </w:p>
        </w:tc>
        <w:tc>
          <w:tcPr>
            <w:tcW w:w="1318" w:type="dxa"/>
          </w:tcPr>
          <w:p w14:paraId="7EF1E0B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3315</w:t>
            </w:r>
          </w:p>
        </w:tc>
        <w:tc>
          <w:tcPr>
            <w:tcW w:w="737" w:type="dxa"/>
          </w:tcPr>
          <w:p w14:paraId="2046EE6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14:paraId="5C34AD1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6BE277F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6250</w:t>
            </w:r>
          </w:p>
        </w:tc>
        <w:tc>
          <w:tcPr>
            <w:tcW w:w="2811" w:type="dxa"/>
          </w:tcPr>
          <w:p w14:paraId="6A205827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Grefab brev, </w:t>
            </w:r>
            <w:proofErr w:type="spellStart"/>
            <w:r w:rsidRPr="001452BD">
              <w:rPr>
                <w:rFonts w:eastAsia="Calibri"/>
                <w:sz w:val="16"/>
                <w:szCs w:val="16"/>
              </w:rPr>
              <w:t>spec</w:t>
            </w:r>
            <w:proofErr w:type="spellEnd"/>
            <w:r w:rsidRPr="001452BD">
              <w:rPr>
                <w:rFonts w:eastAsia="Calibri"/>
                <w:sz w:val="16"/>
                <w:szCs w:val="16"/>
              </w:rPr>
              <w:t xml:space="preserve"> för november 2024</w:t>
            </w:r>
          </w:p>
        </w:tc>
        <w:tc>
          <w:tcPr>
            <w:tcW w:w="1523" w:type="dxa"/>
          </w:tcPr>
          <w:p w14:paraId="75E2B6E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Avtal</w:t>
            </w:r>
          </w:p>
        </w:tc>
      </w:tr>
      <w:tr w:rsidR="00B41E15" w:rsidRPr="00A1706D" w14:paraId="7E4F4537" w14:textId="77777777" w:rsidTr="000B7056">
        <w:trPr>
          <w:trHeight w:val="817"/>
        </w:trPr>
        <w:tc>
          <w:tcPr>
            <w:tcW w:w="2072" w:type="dxa"/>
          </w:tcPr>
          <w:p w14:paraId="351CA7C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Göteborgs </w:t>
            </w:r>
            <w:r>
              <w:rPr>
                <w:rFonts w:eastAsia="Calibri"/>
                <w:sz w:val="16"/>
                <w:szCs w:val="16"/>
              </w:rPr>
              <w:t>L</w:t>
            </w:r>
            <w:r w:rsidRPr="001452BD">
              <w:rPr>
                <w:rFonts w:eastAsia="Calibri"/>
                <w:sz w:val="16"/>
                <w:szCs w:val="16"/>
              </w:rPr>
              <w:t>easing AB</w:t>
            </w:r>
          </w:p>
        </w:tc>
        <w:tc>
          <w:tcPr>
            <w:tcW w:w="1318" w:type="dxa"/>
          </w:tcPr>
          <w:p w14:paraId="275DC042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1791</w:t>
            </w:r>
          </w:p>
        </w:tc>
        <w:tc>
          <w:tcPr>
            <w:tcW w:w="737" w:type="dxa"/>
          </w:tcPr>
          <w:p w14:paraId="52A56F9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Jan-25</w:t>
            </w:r>
          </w:p>
        </w:tc>
        <w:tc>
          <w:tcPr>
            <w:tcW w:w="738" w:type="dxa"/>
          </w:tcPr>
          <w:p w14:paraId="2FB6652C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5820</w:t>
            </w:r>
          </w:p>
        </w:tc>
        <w:tc>
          <w:tcPr>
            <w:tcW w:w="2811" w:type="dxa"/>
          </w:tcPr>
          <w:p w14:paraId="03540BC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Fordonshyra korttid + tillägg</w:t>
            </w:r>
          </w:p>
        </w:tc>
        <w:tc>
          <w:tcPr>
            <w:tcW w:w="1523" w:type="dxa"/>
          </w:tcPr>
          <w:p w14:paraId="4A53722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Bolag inom Göteborgs Stad</w:t>
            </w:r>
          </w:p>
        </w:tc>
      </w:tr>
      <w:tr w:rsidR="00B41E15" w:rsidRPr="00A1706D" w14:paraId="19084DAE" w14:textId="77777777" w:rsidTr="000B7056">
        <w:trPr>
          <w:trHeight w:val="817"/>
        </w:trPr>
        <w:tc>
          <w:tcPr>
            <w:tcW w:w="2072" w:type="dxa"/>
          </w:tcPr>
          <w:p w14:paraId="421F5A4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Linde Gas AB</w:t>
            </w:r>
          </w:p>
        </w:tc>
        <w:tc>
          <w:tcPr>
            <w:tcW w:w="1318" w:type="dxa"/>
          </w:tcPr>
          <w:p w14:paraId="47D6FCA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158,88</w:t>
            </w:r>
          </w:p>
        </w:tc>
        <w:tc>
          <w:tcPr>
            <w:tcW w:w="737" w:type="dxa"/>
          </w:tcPr>
          <w:p w14:paraId="1DA8837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64C8476B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5460</w:t>
            </w:r>
          </w:p>
        </w:tc>
        <w:tc>
          <w:tcPr>
            <w:tcW w:w="2811" w:type="dxa"/>
          </w:tcPr>
          <w:p w14:paraId="7268AFE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Dagshyra industriflaska</w:t>
            </w:r>
          </w:p>
        </w:tc>
        <w:tc>
          <w:tcPr>
            <w:tcW w:w="1523" w:type="dxa"/>
          </w:tcPr>
          <w:p w14:paraId="35304D0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Avtal</w:t>
            </w:r>
          </w:p>
        </w:tc>
      </w:tr>
      <w:tr w:rsidR="00B41E15" w:rsidRPr="00354F36" w14:paraId="3CBB61BD" w14:textId="77777777" w:rsidTr="000B7056">
        <w:trPr>
          <w:trHeight w:val="817"/>
        </w:trPr>
        <w:tc>
          <w:tcPr>
            <w:tcW w:w="2072" w:type="dxa"/>
          </w:tcPr>
          <w:p w14:paraId="6E98C5E7" w14:textId="77777777" w:rsidR="00B41E15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Tele 2 Sverige AB</w:t>
            </w:r>
          </w:p>
          <w:p w14:paraId="75ED29D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</w:tcPr>
          <w:p w14:paraId="266C5310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1053</w:t>
            </w:r>
          </w:p>
        </w:tc>
        <w:tc>
          <w:tcPr>
            <w:tcW w:w="737" w:type="dxa"/>
          </w:tcPr>
          <w:p w14:paraId="24BB5AD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4297BAC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7699</w:t>
            </w:r>
          </w:p>
        </w:tc>
        <w:tc>
          <w:tcPr>
            <w:tcW w:w="2811" w:type="dxa"/>
          </w:tcPr>
          <w:p w14:paraId="51E51645" w14:textId="77777777" w:rsidR="00B41E15" w:rsidRPr="00354F36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  <w:lang w:val="en-US"/>
              </w:rPr>
            </w:pPr>
            <w:r w:rsidRPr="00354F36">
              <w:rPr>
                <w:rFonts w:eastAsia="Calibri"/>
                <w:sz w:val="16"/>
                <w:szCs w:val="16"/>
                <w:lang w:val="en-US"/>
              </w:rPr>
              <w:t>UNISYNK USB-C PD 20W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 w:rsidRPr="00354F36">
              <w:rPr>
                <w:rFonts w:eastAsia="Calibri"/>
                <w:sz w:val="16"/>
                <w:szCs w:val="16"/>
                <w:lang w:val="en-US"/>
              </w:rPr>
              <w:t>LIGHTNING cable, g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lass screen protector </w:t>
            </w:r>
            <w:proofErr w:type="spellStart"/>
            <w:r>
              <w:rPr>
                <w:rFonts w:eastAsia="Calibri"/>
                <w:sz w:val="16"/>
                <w:szCs w:val="16"/>
                <w:lang w:val="en-US"/>
              </w:rPr>
              <w:t>iphone</w:t>
            </w:r>
            <w:proofErr w:type="spellEnd"/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23" w:type="dxa"/>
          </w:tcPr>
          <w:p w14:paraId="5C9434D3" w14:textId="77777777" w:rsidR="00B41E15" w:rsidRPr="00354F36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  <w:lang w:val="en-US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Ramavtal i </w:t>
            </w:r>
            <w:proofErr w:type="spellStart"/>
            <w:r w:rsidRPr="001452BD">
              <w:rPr>
                <w:rFonts w:eastAsia="Calibri"/>
                <w:sz w:val="16"/>
                <w:szCs w:val="16"/>
              </w:rPr>
              <w:t>Proceedo</w:t>
            </w:r>
            <w:proofErr w:type="spellEnd"/>
          </w:p>
        </w:tc>
      </w:tr>
      <w:tr w:rsidR="00B41E15" w:rsidRPr="00A1706D" w14:paraId="12567FD3" w14:textId="77777777" w:rsidTr="000B7056">
        <w:trPr>
          <w:trHeight w:val="817"/>
        </w:trPr>
        <w:tc>
          <w:tcPr>
            <w:tcW w:w="2072" w:type="dxa"/>
          </w:tcPr>
          <w:p w14:paraId="7BA1566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 xml:space="preserve">Göteborgs </w:t>
            </w:r>
            <w:r>
              <w:rPr>
                <w:rFonts w:eastAsia="Calibri"/>
                <w:sz w:val="16"/>
                <w:szCs w:val="16"/>
              </w:rPr>
              <w:t>L</w:t>
            </w:r>
            <w:r w:rsidRPr="001452BD">
              <w:rPr>
                <w:rFonts w:eastAsia="Calibri"/>
                <w:sz w:val="16"/>
                <w:szCs w:val="16"/>
              </w:rPr>
              <w:t>easing AB</w:t>
            </w:r>
          </w:p>
        </w:tc>
        <w:tc>
          <w:tcPr>
            <w:tcW w:w="1318" w:type="dxa"/>
          </w:tcPr>
          <w:p w14:paraId="777C262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368</w:t>
            </w:r>
          </w:p>
        </w:tc>
        <w:tc>
          <w:tcPr>
            <w:tcW w:w="737" w:type="dxa"/>
          </w:tcPr>
          <w:p w14:paraId="70D0685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Feb-25</w:t>
            </w:r>
          </w:p>
        </w:tc>
        <w:tc>
          <w:tcPr>
            <w:tcW w:w="738" w:type="dxa"/>
          </w:tcPr>
          <w:p w14:paraId="063F4758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5611</w:t>
            </w:r>
          </w:p>
        </w:tc>
        <w:tc>
          <w:tcPr>
            <w:tcW w:w="2811" w:type="dxa"/>
          </w:tcPr>
          <w:p w14:paraId="44A0B2F1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Ersättningsbil, tillägg</w:t>
            </w:r>
          </w:p>
        </w:tc>
        <w:tc>
          <w:tcPr>
            <w:tcW w:w="1523" w:type="dxa"/>
          </w:tcPr>
          <w:p w14:paraId="63FD9553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Bolag inom Göteborgs Stad</w:t>
            </w:r>
          </w:p>
        </w:tc>
      </w:tr>
      <w:tr w:rsidR="00B41E15" w:rsidRPr="00A1706D" w14:paraId="36111EDE" w14:textId="77777777" w:rsidTr="000B7056">
        <w:trPr>
          <w:trHeight w:val="817"/>
        </w:trPr>
        <w:tc>
          <w:tcPr>
            <w:tcW w:w="2072" w:type="dxa"/>
          </w:tcPr>
          <w:p w14:paraId="1B727FF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Nordic Sea Construction AB</w:t>
            </w:r>
          </w:p>
        </w:tc>
        <w:tc>
          <w:tcPr>
            <w:tcW w:w="1318" w:type="dxa"/>
          </w:tcPr>
          <w:p w14:paraId="12A511E9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140 672,50</w:t>
            </w:r>
          </w:p>
        </w:tc>
        <w:tc>
          <w:tcPr>
            <w:tcW w:w="737" w:type="dxa"/>
          </w:tcPr>
          <w:p w14:paraId="61ACDAEE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738" w:type="dxa"/>
          </w:tcPr>
          <w:p w14:paraId="3F57BAA5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1181</w:t>
            </w:r>
          </w:p>
        </w:tc>
        <w:tc>
          <w:tcPr>
            <w:tcW w:w="2811" w:type="dxa"/>
          </w:tcPr>
          <w:p w14:paraId="23A03225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Renovering och breddning av </w:t>
            </w:r>
            <w:proofErr w:type="spellStart"/>
            <w:r>
              <w:rPr>
                <w:rFonts w:eastAsia="Calibri"/>
                <w:sz w:val="16"/>
                <w:szCs w:val="16"/>
              </w:rPr>
              <w:t>konsollbrygga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berget, arbete, hyra </w:t>
            </w:r>
            <w:proofErr w:type="spellStart"/>
            <w:r>
              <w:rPr>
                <w:rFonts w:eastAsia="Calibri"/>
                <w:sz w:val="16"/>
                <w:szCs w:val="16"/>
              </w:rPr>
              <w:t>enl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spec</w:t>
            </w:r>
            <w:proofErr w:type="spellEnd"/>
          </w:p>
        </w:tc>
        <w:tc>
          <w:tcPr>
            <w:tcW w:w="1523" w:type="dxa"/>
          </w:tcPr>
          <w:p w14:paraId="53B085F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Eget ramavtal</w:t>
            </w:r>
          </w:p>
        </w:tc>
      </w:tr>
      <w:tr w:rsidR="00B41E15" w:rsidRPr="00A1706D" w14:paraId="2807FFE2" w14:textId="77777777" w:rsidTr="000B7056">
        <w:trPr>
          <w:trHeight w:val="567"/>
        </w:trPr>
        <w:tc>
          <w:tcPr>
            <w:tcW w:w="2072" w:type="dxa"/>
          </w:tcPr>
          <w:p w14:paraId="49D9E9F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Räddningstjänsten Storgöteborg</w:t>
            </w:r>
          </w:p>
        </w:tc>
        <w:tc>
          <w:tcPr>
            <w:tcW w:w="1318" w:type="dxa"/>
          </w:tcPr>
          <w:p w14:paraId="47F16EDD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2103</w:t>
            </w:r>
          </w:p>
        </w:tc>
        <w:tc>
          <w:tcPr>
            <w:tcW w:w="737" w:type="dxa"/>
          </w:tcPr>
          <w:p w14:paraId="1436EEB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1452BD">
              <w:rPr>
                <w:rFonts w:eastAsia="Calibri"/>
                <w:sz w:val="16"/>
                <w:szCs w:val="16"/>
              </w:rPr>
              <w:t>Mars-25</w:t>
            </w:r>
          </w:p>
          <w:p w14:paraId="1A711244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8" w:type="dxa"/>
          </w:tcPr>
          <w:p w14:paraId="7ED6731F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6370</w:t>
            </w:r>
          </w:p>
        </w:tc>
        <w:tc>
          <w:tcPr>
            <w:tcW w:w="2811" w:type="dxa"/>
          </w:tcPr>
          <w:p w14:paraId="040B63DA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Lagunen; </w:t>
            </w:r>
            <w:proofErr w:type="gramStart"/>
            <w:r>
              <w:rPr>
                <w:rFonts w:eastAsia="Calibri"/>
                <w:sz w:val="16"/>
                <w:szCs w:val="16"/>
              </w:rPr>
              <w:t>avgift larm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pollning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RSG nät, avgift nyckel &amp; kordkortshantering</w:t>
            </w:r>
          </w:p>
        </w:tc>
        <w:tc>
          <w:tcPr>
            <w:tcW w:w="1523" w:type="dxa"/>
          </w:tcPr>
          <w:p w14:paraId="440251C6" w14:textId="77777777" w:rsidR="00B41E15" w:rsidRPr="001452BD" w:rsidRDefault="00B41E15" w:rsidP="000B7056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Alternativ saknas</w:t>
            </w:r>
          </w:p>
        </w:tc>
      </w:tr>
    </w:tbl>
    <w:p w14:paraId="0FDF66E6" w14:textId="77777777" w:rsidR="00A1706D" w:rsidRDefault="00A1706D" w:rsidP="006427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A00E5" w14:textId="77777777" w:rsidR="00A1706D" w:rsidRPr="00A1706D" w:rsidRDefault="00A1706D" w:rsidP="00A1706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706D">
        <w:rPr>
          <w:rFonts w:ascii="Times New Roman" w:eastAsia="Calibri" w:hAnsi="Times New Roman" w:cs="Times New Roman"/>
          <w:sz w:val="24"/>
          <w:szCs w:val="24"/>
        </w:rPr>
        <w:t xml:space="preserve">Totalt har 20 fakturor granskats. Vid genomgången har konstaterats att 11 leverantörer har stadens ramavtal, 4 har </w:t>
      </w:r>
      <w:proofErr w:type="spellStart"/>
      <w:r w:rsidRPr="00A1706D">
        <w:rPr>
          <w:rFonts w:ascii="Times New Roman" w:eastAsia="Calibri" w:hAnsi="Times New Roman" w:cs="Times New Roman"/>
          <w:sz w:val="24"/>
          <w:szCs w:val="24"/>
        </w:rPr>
        <w:t>Grefabs</w:t>
      </w:r>
      <w:proofErr w:type="spellEnd"/>
      <w:r w:rsidRPr="00A1706D">
        <w:rPr>
          <w:rFonts w:ascii="Times New Roman" w:eastAsia="Calibri" w:hAnsi="Times New Roman" w:cs="Times New Roman"/>
          <w:sz w:val="24"/>
          <w:szCs w:val="24"/>
        </w:rPr>
        <w:t xml:space="preserve"> egna avtal alternativt har direktupphandling gjorts och 2 leverantörer finns inom Göteborgs stad.  </w:t>
      </w:r>
    </w:p>
    <w:p w14:paraId="7E87D403" w14:textId="77777777" w:rsidR="00B41E15" w:rsidRDefault="00B41E15" w:rsidP="00B41E15">
      <w:pPr>
        <w:ind w:left="5216" w:hanging="5216"/>
      </w:pPr>
      <w:r>
        <w:rPr>
          <w:rFonts w:ascii="Times New Roman" w:eastAsia="Calibri" w:hAnsi="Times New Roman" w:cs="Times New Roman"/>
          <w:sz w:val="24"/>
          <w:szCs w:val="24"/>
        </w:rPr>
        <w:t>Malin Jarvind</w:t>
      </w:r>
      <w:r w:rsidRPr="00B41E15">
        <w:t xml:space="preserve"> </w:t>
      </w:r>
      <w:r>
        <w:tab/>
      </w:r>
      <w:r>
        <w:t>Anders Söderberg</w:t>
      </w:r>
      <w:r>
        <w:t xml:space="preserve"> </w:t>
      </w:r>
    </w:p>
    <w:p w14:paraId="1AC13B06" w14:textId="609BDBE3" w:rsidR="00B41E15" w:rsidRPr="00B41E15" w:rsidRDefault="00B41E15" w:rsidP="00B41E15">
      <w:pPr>
        <w:ind w:left="5216" w:hanging="5216"/>
      </w:pPr>
      <w:r w:rsidRPr="00A1706D">
        <w:rPr>
          <w:rFonts w:ascii="Times New Roman" w:eastAsia="Calibri" w:hAnsi="Times New Roman" w:cs="Times New Roman"/>
          <w:sz w:val="24"/>
          <w:szCs w:val="24"/>
        </w:rPr>
        <w:t>Grefab</w:t>
      </w:r>
      <w:r>
        <w:t xml:space="preserve"> </w:t>
      </w:r>
      <w:r>
        <w:tab/>
      </w:r>
      <w:r>
        <w:t>VD</w:t>
      </w:r>
      <w:r>
        <w:br/>
        <w:t>Grefab</w:t>
      </w:r>
      <w:bookmarkEnd w:id="0"/>
    </w:p>
    <w:sectPr w:rsidR="00B41E15" w:rsidRPr="00B4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776"/>
    <w:multiLevelType w:val="hybridMultilevel"/>
    <w:tmpl w:val="923ECCB0"/>
    <w:lvl w:ilvl="0" w:tplc="B78ADB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704"/>
    <w:multiLevelType w:val="hybridMultilevel"/>
    <w:tmpl w:val="63AAF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1CC"/>
    <w:multiLevelType w:val="hybridMultilevel"/>
    <w:tmpl w:val="5F80489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DF67BF1"/>
    <w:multiLevelType w:val="hybridMultilevel"/>
    <w:tmpl w:val="33F81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35182"/>
    <w:multiLevelType w:val="hybridMultilevel"/>
    <w:tmpl w:val="72B05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224DB"/>
    <w:multiLevelType w:val="hybridMultilevel"/>
    <w:tmpl w:val="CA34E5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7803152">
    <w:abstractNumId w:val="5"/>
  </w:num>
  <w:num w:numId="2" w16cid:durableId="20977656">
    <w:abstractNumId w:val="2"/>
  </w:num>
  <w:num w:numId="3" w16cid:durableId="1630359302">
    <w:abstractNumId w:val="4"/>
  </w:num>
  <w:num w:numId="4" w16cid:durableId="1759254572">
    <w:abstractNumId w:val="1"/>
  </w:num>
  <w:num w:numId="5" w16cid:durableId="1825968621">
    <w:abstractNumId w:val="0"/>
  </w:num>
  <w:num w:numId="6" w16cid:durableId="503280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A"/>
    <w:rsid w:val="000D02F3"/>
    <w:rsid w:val="0013161A"/>
    <w:rsid w:val="00134872"/>
    <w:rsid w:val="001A3499"/>
    <w:rsid w:val="00220FB3"/>
    <w:rsid w:val="00294F76"/>
    <w:rsid w:val="00351C7C"/>
    <w:rsid w:val="00642783"/>
    <w:rsid w:val="0076499B"/>
    <w:rsid w:val="007A54EA"/>
    <w:rsid w:val="008E59E3"/>
    <w:rsid w:val="00912895"/>
    <w:rsid w:val="0095158D"/>
    <w:rsid w:val="00A1706D"/>
    <w:rsid w:val="00A251C7"/>
    <w:rsid w:val="00B41E15"/>
    <w:rsid w:val="00B7648C"/>
    <w:rsid w:val="00BC61EA"/>
    <w:rsid w:val="00D0740B"/>
    <w:rsid w:val="00E219B5"/>
    <w:rsid w:val="00F22496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9C1D"/>
  <w15:chartTrackingRefBased/>
  <w15:docId w15:val="{8FEAFD67-7A6B-45CF-A10D-F55F9A97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31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7A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4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Söderberg</dc:creator>
  <cp:keywords/>
  <dc:description/>
  <cp:lastModifiedBy>Anders Söderberg</cp:lastModifiedBy>
  <cp:revision>5</cp:revision>
  <dcterms:created xsi:type="dcterms:W3CDTF">2025-03-28T12:48:00Z</dcterms:created>
  <dcterms:modified xsi:type="dcterms:W3CDTF">2025-04-10T11:30:00Z</dcterms:modified>
</cp:coreProperties>
</file>