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DC7E" w14:textId="77777777" w:rsidR="00034AFF" w:rsidRDefault="00034AFF"/>
    <w:p w14:paraId="5B16AA0B" w14:textId="77777777" w:rsidR="00A87A8C" w:rsidRDefault="00A87A8C" w:rsidP="00A87A8C">
      <w:pPr>
        <w:jc w:val="center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Månadsrapport</w:t>
      </w:r>
    </w:p>
    <w:p w14:paraId="0F865E2A" w14:textId="77777777" w:rsidR="00A87A8C" w:rsidRPr="00A900C8" w:rsidRDefault="00A87A8C" w:rsidP="00A87A8C">
      <w:pPr>
        <w:jc w:val="center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Göteborgs Spårvägar AB</w:t>
      </w:r>
    </w:p>
    <w:p w14:paraId="30D71AFE" w14:textId="77777777" w:rsidR="00A87A8C" w:rsidRDefault="00A87A8C" w:rsidP="00A87A8C">
      <w:pPr>
        <w:jc w:val="center"/>
        <w:rPr>
          <w:rFonts w:ascii="Franklin Gothic Demi" w:hAnsi="Franklin Gothic Demi"/>
          <w:sz w:val="28"/>
          <w:szCs w:val="28"/>
        </w:rPr>
      </w:pPr>
      <w:r w:rsidRPr="64DA3E20">
        <w:rPr>
          <w:rFonts w:ascii="Franklin Gothic Demi" w:hAnsi="Franklin Gothic Demi"/>
          <w:sz w:val="28"/>
          <w:szCs w:val="28"/>
        </w:rPr>
        <w:t>Januari 2024</w:t>
      </w:r>
    </w:p>
    <w:p w14:paraId="473362C8" w14:textId="77777777" w:rsidR="00A87A8C" w:rsidRDefault="00A87A8C" w:rsidP="00A87A8C">
      <w:pPr>
        <w:jc w:val="center"/>
        <w:rPr>
          <w:rFonts w:ascii="Franklin Gothic Demi" w:hAnsi="Franklin Gothic Demi"/>
          <w:sz w:val="28"/>
          <w:szCs w:val="28"/>
        </w:rPr>
      </w:pPr>
    </w:p>
    <w:p w14:paraId="19616AB3" w14:textId="77777777" w:rsidR="00A87A8C" w:rsidRDefault="00A87A8C" w:rsidP="00A87A8C">
      <w:pPr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noProof/>
          <w:sz w:val="28"/>
          <w:szCs w:val="28"/>
        </w:rPr>
        <w:drawing>
          <wp:inline distT="0" distB="0" distL="0" distR="0" wp14:anchorId="0F578D1D" wp14:editId="2CCD586B">
            <wp:extent cx="5236845" cy="3846830"/>
            <wp:effectExtent l="0" t="0" r="1905" b="1270"/>
            <wp:docPr id="2" name="Picture 2" descr="A blue and white t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tr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84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718EA" w14:textId="77777777" w:rsidR="00A87A8C" w:rsidRPr="00380EF8" w:rsidRDefault="00A87A8C" w:rsidP="00A87A8C">
      <w:pPr>
        <w:rPr>
          <w:color w:val="FF0000"/>
        </w:rPr>
      </w:pPr>
      <w:r w:rsidRPr="004B4B81">
        <w:rPr>
          <w:color w:val="FF0000"/>
          <w:sz w:val="28"/>
          <w:szCs w:val="28"/>
        </w:rPr>
        <w:t xml:space="preserve"> </w:t>
      </w:r>
    </w:p>
    <w:p w14:paraId="47939236" w14:textId="24D1B1A7" w:rsidR="00A87A8C" w:rsidRDefault="00A87A8C">
      <w:pPr>
        <w:spacing w:after="160" w:line="259" w:lineRule="auto"/>
      </w:pPr>
      <w:r>
        <w:br w:type="page"/>
      </w:r>
    </w:p>
    <w:p w14:paraId="23D0CA87" w14:textId="77777777" w:rsidR="00A87A8C" w:rsidRPr="00380EF8" w:rsidRDefault="00A87A8C" w:rsidP="00A87A8C">
      <w:pPr>
        <w:rPr>
          <w:color w:val="FF0000"/>
        </w:rPr>
      </w:pPr>
      <w:bookmarkStart w:id="0" w:name="_Toc505243443"/>
      <w:bookmarkStart w:id="1" w:name="_Toc512411458"/>
      <w:bookmarkStart w:id="2" w:name="_Toc5600977"/>
      <w:bookmarkStart w:id="3" w:name="_Toc5601093"/>
      <w:bookmarkStart w:id="4" w:name="_Toc103337355"/>
      <w:r w:rsidRPr="4144A15A">
        <w:rPr>
          <w:b/>
          <w:bCs/>
        </w:rPr>
        <w:lastRenderedPageBreak/>
        <w:t>Ekonomiskt resultat</w:t>
      </w:r>
      <w:bookmarkEnd w:id="0"/>
      <w:r w:rsidRPr="4144A15A">
        <w:rPr>
          <w:b/>
          <w:bCs/>
        </w:rPr>
        <w:t xml:space="preserve"> totalt </w:t>
      </w:r>
      <w:bookmarkEnd w:id="1"/>
      <w:r w:rsidRPr="4144A15A">
        <w:rPr>
          <w:b/>
          <w:bCs/>
        </w:rPr>
        <w:t>bolaget</w:t>
      </w:r>
      <w:bookmarkEnd w:id="2"/>
      <w:bookmarkEnd w:id="3"/>
      <w:bookmarkEnd w:id="4"/>
      <w:r w:rsidRPr="4144A15A">
        <w:rPr>
          <w:b/>
          <w:bCs/>
        </w:rPr>
        <w:t xml:space="preserve">              </w:t>
      </w:r>
      <w:r w:rsidRPr="4144A15A">
        <w:t xml:space="preserve">           </w:t>
      </w:r>
      <w:r w:rsidRPr="4144A15A">
        <w:rPr>
          <w:color w:val="FF0000"/>
        </w:rPr>
        <w:t xml:space="preserve">                               </w:t>
      </w:r>
    </w:p>
    <w:p w14:paraId="1BF664D4" w14:textId="77777777" w:rsidR="00A87A8C" w:rsidRDefault="00A87A8C" w:rsidP="00A87A8C">
      <w:pPr>
        <w:pStyle w:val="GSNormal"/>
        <w:rPr>
          <w:color w:val="FF0000"/>
          <w:sz w:val="16"/>
          <w:szCs w:val="16"/>
        </w:rPr>
      </w:pPr>
      <w:r w:rsidRPr="401ED628">
        <w:rPr>
          <w:color w:val="FF0000"/>
          <w:sz w:val="16"/>
          <w:szCs w:val="16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944"/>
        <w:gridCol w:w="911"/>
        <w:gridCol w:w="885"/>
        <w:gridCol w:w="845"/>
        <w:gridCol w:w="990"/>
        <w:gridCol w:w="937"/>
        <w:gridCol w:w="870"/>
      </w:tblGrid>
      <w:tr w:rsidR="00A87A8C" w14:paraId="3B77E348" w14:textId="77777777" w:rsidTr="009B7C64">
        <w:trPr>
          <w:trHeight w:val="78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</w:tcPr>
          <w:p w14:paraId="5686CCF1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Resultaträkning (Mkr)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0C710EAC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Utfall </w:t>
            </w:r>
            <w:r w:rsidRPr="4CAB5281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21F799C4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  </w:t>
            </w:r>
            <w:r w:rsidRPr="5EC361B8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179A6396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Jan 2024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684C9D25" w14:textId="77777777" w:rsidR="00A87A8C" w:rsidRDefault="00A87A8C" w:rsidP="009B7C64">
            <w:pPr>
              <w:spacing w:after="0"/>
              <w:jc w:val="center"/>
              <w:rPr>
                <w:rFonts w:eastAsia="Calibri" w:cs="Calibri"/>
                <w:b/>
                <w:color w:val="FFFFFF" w:themeColor="background1"/>
                <w:sz w:val="18"/>
                <w:szCs w:val="18"/>
              </w:rPr>
            </w:pPr>
            <w:r w:rsidRPr="179A6396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Budget </w:t>
            </w:r>
            <w:r w:rsidRPr="555CDE3D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5EC361B8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179A6396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Jan 2024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5E358B47" w14:textId="77777777" w:rsidR="00A87A8C" w:rsidRDefault="00A87A8C" w:rsidP="009B7C64">
            <w:pPr>
              <w:spacing w:after="0"/>
              <w:jc w:val="right"/>
            </w:pPr>
            <w:r w:rsidRPr="179A6396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Avvikelse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472CFFC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Prognos helår 2024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245D5F18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Budget helår 2024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2D15E17A" w14:textId="77777777" w:rsidR="00A87A8C" w:rsidRDefault="00A87A8C" w:rsidP="009B7C64">
            <w:pPr>
              <w:spacing w:after="0"/>
              <w:jc w:val="right"/>
            </w:pPr>
            <w:r w:rsidRPr="179A6396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Avvikelse</w:t>
            </w:r>
          </w:p>
        </w:tc>
      </w:tr>
      <w:tr w:rsidR="00A87A8C" w14:paraId="12FE02D6" w14:textId="77777777" w:rsidTr="009B7C64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571275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Nettoomsättning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BC90E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122,4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CDA8E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121,9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94EF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71800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1 473,1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0694F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1 465,4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49CBD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7,7</w:t>
            </w:r>
          </w:p>
        </w:tc>
      </w:tr>
      <w:tr w:rsidR="00A87A8C" w14:paraId="17E318B3" w14:textId="77777777" w:rsidTr="009B7C64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BF8F1B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Övriga rörelseintäkter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1BD9A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-2,0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378AA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8E2AE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D0DA5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5,2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14403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B1576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007278F7" w14:textId="77777777" w:rsidTr="009B7C64">
        <w:trPr>
          <w:trHeight w:val="31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E3753C7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Rörelsens intäkter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B9607CF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120,4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5B65642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122,4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F17F573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52FFD9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1 478,4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D206843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1 470,6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F4CCD73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7,7</w:t>
            </w:r>
          </w:p>
        </w:tc>
      </w:tr>
      <w:tr w:rsidR="00A87A8C" w14:paraId="599856E7" w14:textId="77777777" w:rsidTr="009B7C64">
        <w:trPr>
          <w:trHeight w:val="31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975A72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Kostnader för varor, material och vissa köpta tjänster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5A28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-29,5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8F58E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-25,2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0FA44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DC69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-302,9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8580F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-302,9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7230D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474CD643" w14:textId="77777777" w:rsidTr="009B7C64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4ACA10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Övriga externa kostnader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6A21B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-16,8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59490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-23,1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13F56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7BD14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-277,5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D8566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-277,0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391CA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-0,5</w:t>
            </w:r>
          </w:p>
        </w:tc>
      </w:tr>
      <w:tr w:rsidR="00A87A8C" w14:paraId="3C64E576" w14:textId="77777777" w:rsidTr="009B7C64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4A70C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Personalkostnader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967FA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-68,6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6BBE2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-71,6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2B3AE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3E74F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-857,9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DBE60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-850,8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D72AB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-7,2</w:t>
            </w:r>
          </w:p>
        </w:tc>
      </w:tr>
      <w:tr w:rsidR="00A87A8C" w14:paraId="7BA085F6" w14:textId="77777777" w:rsidTr="009B7C64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C3A375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Av-/nedskrivning av </w:t>
            </w:r>
            <w:proofErr w:type="spellStart"/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-/materiella anläggningstillgångar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26CD6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-2,1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6237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-3,3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B37EB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CE1E0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-40,0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22E5C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-40,0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94D20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108D0D88" w14:textId="77777777" w:rsidTr="009B7C64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401731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Övriga rörelsekostnader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69123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AB97E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ADF14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CE6F8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596BB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44738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3DE04368" w14:textId="77777777" w:rsidTr="009B7C64">
        <w:trPr>
          <w:trHeight w:val="31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E4CDA40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Rörelsens kostnader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55D7370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-117,0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D224D4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-123,3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7FB8279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6C9221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-1 478,4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D2DA6CA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-1 470,7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B649CCD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-7,7</w:t>
            </w:r>
          </w:p>
        </w:tc>
      </w:tr>
      <w:tr w:rsidR="00A87A8C" w14:paraId="5F227EFD" w14:textId="77777777" w:rsidTr="009B7C64">
        <w:trPr>
          <w:trHeight w:val="33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F86CBF0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Rörelseresultat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14AAA40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87240F4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-0,9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232931B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9422AB5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A6D2890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8B9E8BE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2B9C04D3" w14:textId="77777777" w:rsidTr="009B7C64">
        <w:trPr>
          <w:trHeight w:val="31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6E9211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Övriga ränteintäkter och liknande resultatposter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66E11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0,1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95E7C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AB2DC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C667C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0,1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45E3D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03709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27E1F101" w14:textId="77777777" w:rsidTr="009B7C64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71E11B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Räntekostnader och liknande resultatposter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58319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-0,1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3626C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3AB51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0136D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sz w:val="16"/>
                <w:szCs w:val="16"/>
              </w:rPr>
              <w:t>-0,1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5FDA3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-0,1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0232B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2DBAC55B" w14:textId="77777777" w:rsidTr="009B7C64">
        <w:trPr>
          <w:trHeight w:val="31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1E778AD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Finansiella intäkter och kostnader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80D38FF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E5078A9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031C60F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087FF0D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C5041C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DF86801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5A1EB3B7" w14:textId="77777777" w:rsidTr="009B7C64">
        <w:trPr>
          <w:trHeight w:val="315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1320979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Resultat efter finansiella poster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7A269DC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CC3DCFD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-0,9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1019501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4BDF89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6F69FA9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E57D1F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0D953D10" w14:textId="77777777" w:rsidTr="009B7C64">
        <w:trPr>
          <w:trHeight w:val="30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6E15C27" w14:textId="77777777" w:rsidR="00A87A8C" w:rsidRDefault="00A87A8C" w:rsidP="009B7C64">
            <w:pPr>
              <w:spacing w:after="0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Årets resultat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E993ADA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773B29D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-0,9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C97D66C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809DF93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DD2EB6F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F9EE3C7" w14:textId="77777777" w:rsidR="00A87A8C" w:rsidRDefault="00A87A8C" w:rsidP="009B7C64">
            <w:pPr>
              <w:spacing w:after="0"/>
              <w:jc w:val="center"/>
            </w:pPr>
            <w:r w:rsidRPr="179A6396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</w:tr>
    </w:tbl>
    <w:p w14:paraId="3154345A" w14:textId="77777777" w:rsidR="00A87A8C" w:rsidRDefault="00A87A8C" w:rsidP="00A87A8C">
      <w:pPr>
        <w:pStyle w:val="GSNormal"/>
        <w:rPr>
          <w:color w:val="FF0000"/>
          <w:sz w:val="16"/>
          <w:szCs w:val="16"/>
        </w:rPr>
      </w:pPr>
    </w:p>
    <w:p w14:paraId="06693A9D" w14:textId="77777777" w:rsidR="00A87A8C" w:rsidRPr="00860693" w:rsidRDefault="00A87A8C" w:rsidP="00A87A8C">
      <w:pPr>
        <w:pStyle w:val="GSNormal"/>
        <w:rPr>
          <w:sz w:val="16"/>
          <w:szCs w:val="16"/>
        </w:rPr>
      </w:pPr>
      <w:r w:rsidRPr="4144A15A">
        <w:rPr>
          <w:sz w:val="16"/>
          <w:szCs w:val="16"/>
        </w:rPr>
        <w:t>Resultatet är före uppbokning i månadsbokslutet</w:t>
      </w:r>
    </w:p>
    <w:p w14:paraId="0DFA4B51" w14:textId="77777777" w:rsidR="00A87A8C" w:rsidRDefault="00A87A8C" w:rsidP="00A87A8C">
      <w:pPr>
        <w:spacing w:after="0" w:line="240" w:lineRule="auto"/>
        <w:rPr>
          <w:rFonts w:cstheme="minorBidi"/>
          <w:b/>
          <w:bCs/>
          <w:sz w:val="24"/>
          <w:szCs w:val="24"/>
        </w:rPr>
      </w:pPr>
    </w:p>
    <w:p w14:paraId="56281154" w14:textId="77777777" w:rsidR="00A87A8C" w:rsidRPr="00AC3A57" w:rsidRDefault="00A87A8C" w:rsidP="00A87A8C">
      <w:pPr>
        <w:spacing w:after="0" w:line="240" w:lineRule="auto"/>
        <w:rPr>
          <w:rFonts w:cstheme="minorBidi"/>
          <w:b/>
          <w:bCs/>
          <w:sz w:val="24"/>
          <w:szCs w:val="24"/>
        </w:rPr>
      </w:pPr>
      <w:r w:rsidRPr="4144A15A">
        <w:rPr>
          <w:rFonts w:cstheme="minorBidi"/>
          <w:b/>
          <w:bCs/>
          <w:sz w:val="24"/>
          <w:szCs w:val="24"/>
        </w:rPr>
        <w:t>Kommentar övergripande</w:t>
      </w:r>
    </w:p>
    <w:p w14:paraId="5A2DB87A" w14:textId="77777777" w:rsidR="00A87A8C" w:rsidRDefault="00A87A8C" w:rsidP="00A87A8C">
      <w:pPr>
        <w:pStyle w:val="GSNormal"/>
        <w:rPr>
          <w:rStyle w:val="normaltextrun"/>
          <w:rFonts w:cstheme="minorBidi"/>
          <w:color w:val="FF0000"/>
        </w:rPr>
      </w:pPr>
    </w:p>
    <w:p w14:paraId="270B0EEB" w14:textId="049A522E" w:rsidR="00A87A8C" w:rsidRPr="00AC3A57" w:rsidRDefault="00A87A8C" w:rsidP="00A87A8C">
      <w:pPr>
        <w:pStyle w:val="GSNormal"/>
        <w:rPr>
          <w:rStyle w:val="normaltextrun"/>
          <w:rFonts w:cstheme="minorBidi"/>
        </w:rPr>
      </w:pPr>
      <w:r w:rsidRPr="56878706">
        <w:rPr>
          <w:rStyle w:val="normaltextrun"/>
          <w:rFonts w:cstheme="minorBidi"/>
        </w:rPr>
        <w:t xml:space="preserve">Göteborgs Spårvägar visar för januari ett resultat före finansiellt netto </w:t>
      </w:r>
      <w:r w:rsidR="008A5867">
        <w:rPr>
          <w:rStyle w:val="normaltextrun"/>
          <w:rFonts w:cstheme="minorBidi"/>
        </w:rPr>
        <w:t>om</w:t>
      </w:r>
      <w:r w:rsidRPr="56878706">
        <w:rPr>
          <w:rStyle w:val="normaltextrun"/>
          <w:rFonts w:cstheme="minorBidi"/>
        </w:rPr>
        <w:t xml:space="preserve"> 3,4 mnkr, vilket är 4,3 mnkr högre än budgeterat.</w:t>
      </w:r>
    </w:p>
    <w:p w14:paraId="6E4804BE" w14:textId="1A40AB05" w:rsidR="00A87A8C" w:rsidRPr="00AC3A57" w:rsidRDefault="00BB22C5" w:rsidP="00A87A8C">
      <w:pPr>
        <w:pStyle w:val="GSNormal"/>
        <w:rPr>
          <w:rFonts w:cstheme="minorBidi"/>
        </w:rPr>
      </w:pPr>
      <w:r>
        <w:rPr>
          <w:rFonts w:cstheme="minorBidi"/>
          <w:b/>
          <w:bCs/>
        </w:rPr>
        <w:t>Rörelsens intäkter</w:t>
      </w:r>
      <w:r w:rsidR="00A87A8C" w:rsidRPr="0E8DF4F9">
        <w:rPr>
          <w:rFonts w:cstheme="minorBidi"/>
        </w:rPr>
        <w:t xml:space="preserve"> avviker totalt sett negativt mot budget </w:t>
      </w:r>
      <w:r w:rsidR="008A5867">
        <w:rPr>
          <w:rFonts w:cstheme="minorBidi"/>
        </w:rPr>
        <w:t>om</w:t>
      </w:r>
      <w:r w:rsidR="00A87A8C" w:rsidRPr="0E8DF4F9">
        <w:rPr>
          <w:rFonts w:cstheme="minorBidi"/>
        </w:rPr>
        <w:t xml:space="preserve"> 2,0 mnkr. </w:t>
      </w:r>
      <w:r w:rsidR="00A87A8C">
        <w:tab/>
      </w:r>
    </w:p>
    <w:p w14:paraId="5BEACFC7" w14:textId="790F5373" w:rsidR="00A87A8C" w:rsidRPr="00AC3A57" w:rsidRDefault="006C301E" w:rsidP="00A87A8C">
      <w:pPr>
        <w:pStyle w:val="GSNormal"/>
        <w:rPr>
          <w:rFonts w:cstheme="minorBidi"/>
        </w:rPr>
      </w:pPr>
      <w:r w:rsidRPr="006C301E">
        <w:rPr>
          <w:rFonts w:cstheme="minorBidi"/>
          <w:b/>
          <w:bCs/>
        </w:rPr>
        <w:t>Rörelsens kostnader</w:t>
      </w:r>
      <w:r w:rsidR="00A87A8C" w:rsidRPr="2FE70D6F">
        <w:rPr>
          <w:rFonts w:cstheme="minorBidi"/>
        </w:rPr>
        <w:t xml:space="preserve"> visar en positiv avvikelse </w:t>
      </w:r>
      <w:r w:rsidR="008A5867">
        <w:rPr>
          <w:rFonts w:cstheme="minorBidi"/>
        </w:rPr>
        <w:t>om</w:t>
      </w:r>
      <w:r w:rsidR="00A87A8C" w:rsidRPr="2FE70D6F">
        <w:rPr>
          <w:rFonts w:cstheme="minorBidi"/>
        </w:rPr>
        <w:t xml:space="preserve"> 6,2 mnkr. Inom Trafikavtalet är de huvudsakliga positiva avvikelserna avskrivningar, personalkostnader och hyra för RÖX. Avvikelserna beror</w:t>
      </w:r>
      <w:r w:rsidR="00EF3823">
        <w:rPr>
          <w:rFonts w:cstheme="minorBidi"/>
        </w:rPr>
        <w:t xml:space="preserve"> främst </w:t>
      </w:r>
      <w:r w:rsidR="00A87A8C" w:rsidRPr="2FE70D6F">
        <w:rPr>
          <w:rFonts w:cstheme="minorBidi"/>
        </w:rPr>
        <w:t xml:space="preserve">på periodisering. Utförandeentreprenadavtalet visar lägre övriga externa kostnader, material och köpta tjänster vilket beror på periodisering. Dessa vägs upp av högre personalkostnader. </w:t>
      </w:r>
    </w:p>
    <w:p w14:paraId="5A31EEB7" w14:textId="77777777" w:rsidR="00A87A8C" w:rsidRDefault="00A87A8C" w:rsidP="00A87A8C">
      <w:pPr>
        <w:pStyle w:val="GSNormal"/>
        <w:rPr>
          <w:rFonts w:cstheme="minorBidi"/>
          <w:b/>
          <w:bCs/>
          <w:color w:val="FF0000"/>
        </w:rPr>
      </w:pPr>
    </w:p>
    <w:p w14:paraId="489FD220" w14:textId="0592F019" w:rsidR="00A87A8C" w:rsidRPr="00AE5A61" w:rsidRDefault="00A87A8C" w:rsidP="00A87A8C">
      <w:pPr>
        <w:pStyle w:val="GSNormal"/>
        <w:rPr>
          <w:rFonts w:cstheme="minorBidi"/>
          <w:b/>
        </w:rPr>
      </w:pPr>
      <w:r w:rsidRPr="56878706">
        <w:rPr>
          <w:rFonts w:cstheme="minorBidi"/>
          <w:b/>
        </w:rPr>
        <w:t>Åtgärd</w:t>
      </w:r>
      <w:r w:rsidR="008A5867">
        <w:rPr>
          <w:rFonts w:cstheme="minorBidi"/>
          <w:b/>
        </w:rPr>
        <w:t>er</w:t>
      </w:r>
      <w:r w:rsidRPr="56878706">
        <w:rPr>
          <w:rFonts w:cstheme="minorBidi"/>
          <w:b/>
        </w:rPr>
        <w:t xml:space="preserve">:  </w:t>
      </w:r>
    </w:p>
    <w:p w14:paraId="364CE1D4" w14:textId="77777777" w:rsidR="00A87A8C" w:rsidRPr="00AE5A61" w:rsidRDefault="00A87A8C" w:rsidP="00A87A8C">
      <w:pPr>
        <w:pStyle w:val="GSNormal"/>
        <w:rPr>
          <w:rFonts w:cstheme="minorBidi"/>
          <w:b/>
        </w:rPr>
      </w:pPr>
      <w:r w:rsidRPr="56878706">
        <w:rPr>
          <w:rFonts w:cstheme="minorBidi"/>
        </w:rPr>
        <w:t>Se åtgärder inom respektive särredovisning.</w:t>
      </w:r>
    </w:p>
    <w:p w14:paraId="3E805171" w14:textId="77777777" w:rsidR="00A87A8C" w:rsidRPr="00AE5A61" w:rsidRDefault="00A87A8C" w:rsidP="00A87A8C">
      <w:pPr>
        <w:pStyle w:val="GSNormal"/>
        <w:rPr>
          <w:b/>
          <w:bCs/>
          <w:color w:val="FF0000"/>
          <w:sz w:val="24"/>
        </w:rPr>
      </w:pPr>
    </w:p>
    <w:p w14:paraId="5BC12435" w14:textId="77777777" w:rsidR="00A87A8C" w:rsidRDefault="00A87A8C" w:rsidP="00A87A8C">
      <w:pPr>
        <w:pStyle w:val="GSNormal"/>
        <w:rPr>
          <w:b/>
          <w:sz w:val="24"/>
        </w:rPr>
      </w:pPr>
    </w:p>
    <w:p w14:paraId="36A618B5" w14:textId="77777777" w:rsidR="00A87A8C" w:rsidRDefault="00A87A8C">
      <w:pPr>
        <w:spacing w:after="160" w:line="259" w:lineRule="auto"/>
        <w:rPr>
          <w:rFonts w:asciiTheme="minorHAnsi" w:eastAsia="Cambria" w:hAnsiTheme="minorHAnsi"/>
          <w:b/>
          <w:bCs/>
          <w:sz w:val="24"/>
          <w:szCs w:val="24"/>
          <w:lang w:eastAsia="en-US"/>
        </w:rPr>
      </w:pPr>
      <w:r>
        <w:rPr>
          <w:b/>
          <w:bCs/>
          <w:sz w:val="24"/>
        </w:rPr>
        <w:br w:type="page"/>
      </w:r>
    </w:p>
    <w:p w14:paraId="058392B2" w14:textId="14C0771C" w:rsidR="00A87A8C" w:rsidRPr="00AE5A61" w:rsidRDefault="00A87A8C" w:rsidP="00A87A8C">
      <w:pPr>
        <w:pStyle w:val="GSNormal"/>
        <w:rPr>
          <w:rFonts w:cstheme="minorBidi"/>
          <w:b/>
          <w:bCs/>
        </w:rPr>
      </w:pPr>
      <w:r w:rsidRPr="4144A15A">
        <w:rPr>
          <w:b/>
          <w:bCs/>
          <w:sz w:val="24"/>
        </w:rPr>
        <w:lastRenderedPageBreak/>
        <w:t>Trafikavtalet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08"/>
        <w:gridCol w:w="882"/>
        <w:gridCol w:w="909"/>
        <w:gridCol w:w="801"/>
        <w:gridCol w:w="909"/>
        <w:gridCol w:w="909"/>
        <w:gridCol w:w="870"/>
      </w:tblGrid>
      <w:tr w:rsidR="00A87A8C" w14:paraId="4060141B" w14:textId="77777777" w:rsidTr="009B7C64">
        <w:trPr>
          <w:trHeight w:val="81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</w:tcPr>
          <w:p w14:paraId="239F7934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Resultaträkning (Mkr)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37F97EC2" w14:textId="77777777" w:rsidR="00A87A8C" w:rsidRDefault="00A87A8C" w:rsidP="009B7C64">
            <w:pPr>
              <w:spacing w:after="0"/>
              <w:jc w:val="center"/>
              <w:rPr>
                <w:rFonts w:eastAsia="Calibri" w:cs="Calibri"/>
                <w:b/>
                <w:color w:val="FFFFFF" w:themeColor="background1"/>
                <w:sz w:val="18"/>
                <w:szCs w:val="18"/>
              </w:rPr>
            </w:pPr>
            <w:r w:rsidRPr="573DA58D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Utfall </w:t>
            </w:r>
            <w:r w:rsidRPr="55FE2E10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41A01A98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  </w:t>
            </w:r>
            <w:r w:rsidRPr="573DA58D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Jan 2024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79809B29" w14:textId="77777777" w:rsidR="00A87A8C" w:rsidRDefault="00A87A8C" w:rsidP="009B7C64">
            <w:pPr>
              <w:spacing w:after="0"/>
              <w:jc w:val="center"/>
              <w:rPr>
                <w:rFonts w:eastAsia="Calibri" w:cs="Calibri"/>
                <w:b/>
                <w:color w:val="FFFFFF" w:themeColor="background1"/>
                <w:sz w:val="18"/>
                <w:szCs w:val="18"/>
              </w:rPr>
            </w:pPr>
            <w:r w:rsidRPr="573DA58D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Budget </w:t>
            </w:r>
            <w:r w:rsidRPr="3E5246D1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5EC361B8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573DA58D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Jan 2024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55CD670F" w14:textId="77777777" w:rsidR="00A87A8C" w:rsidRDefault="00A87A8C" w:rsidP="009B7C64">
            <w:pPr>
              <w:spacing w:after="0"/>
              <w:jc w:val="right"/>
            </w:pPr>
            <w:r w:rsidRPr="573DA58D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Avvikelse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43F78B55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Prognos helår 2024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0AA91067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Budget helår 2024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12E6EEB3" w14:textId="77777777" w:rsidR="00A87A8C" w:rsidRDefault="00A87A8C" w:rsidP="009B7C64">
            <w:pPr>
              <w:spacing w:after="0"/>
              <w:jc w:val="right"/>
            </w:pPr>
            <w:r w:rsidRPr="573DA58D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Avvikelse</w:t>
            </w:r>
          </w:p>
        </w:tc>
      </w:tr>
      <w:tr w:rsidR="00A87A8C" w14:paraId="499D2BDE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F029CC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Nettoomsättning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056B7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BA1FE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25C3F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-0,3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9C7F5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sz w:val="16"/>
                <w:szCs w:val="16"/>
              </w:rPr>
              <w:t>1 208,2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8F17F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1 209,3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579C5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-1,2</w:t>
            </w:r>
          </w:p>
        </w:tc>
      </w:tr>
      <w:tr w:rsidR="00A87A8C" w14:paraId="6D0AF934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A8D16B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Övriga rörelseintäkter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6D3AE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3A3F0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4ECFB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414E7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sz w:val="16"/>
                <w:szCs w:val="16"/>
              </w:rPr>
              <w:t>4,6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2B2D7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4,6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3C28A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7AD1D3D4" w14:textId="77777777" w:rsidTr="009B7C64">
        <w:trPr>
          <w:trHeight w:val="315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9072E42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Rörelsens intäkter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3868940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B4C059C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E8015B4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2CD60AC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sz w:val="16"/>
                <w:szCs w:val="16"/>
              </w:rPr>
              <w:t>1 212,8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C028EDB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1 213,9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92F68B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-1,1</w:t>
            </w:r>
          </w:p>
        </w:tc>
      </w:tr>
      <w:tr w:rsidR="00A87A8C" w14:paraId="4AD3A961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B85C8E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Kostnader för varor, material och vissa köpta tjänster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3AD31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-24,3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82970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-19,1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A7219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-5,2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7FCB4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sz w:val="16"/>
                <w:szCs w:val="16"/>
              </w:rPr>
              <w:t>-228,9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65424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-228,9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BF3F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7E60C5FE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15D1BE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Övriga externa kostnader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C4842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-16,4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CC479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-22,8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A2E25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6,4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9399F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sz w:val="16"/>
                <w:szCs w:val="16"/>
              </w:rPr>
              <w:t>-274,0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49674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-305,7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CA632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31,7</w:t>
            </w:r>
          </w:p>
        </w:tc>
      </w:tr>
      <w:tr w:rsidR="00A87A8C" w14:paraId="7E6468E0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98AEF6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Personalkostnader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CFFCA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-54,3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DBBDB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-57,4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C8160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3,1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BF7EC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sz w:val="16"/>
                <w:szCs w:val="16"/>
              </w:rPr>
              <w:t>-678,3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2ED7A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-647,7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D4BDF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-30,6</w:t>
            </w:r>
          </w:p>
        </w:tc>
      </w:tr>
      <w:tr w:rsidR="00A87A8C" w14:paraId="73383C85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18426C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Av-/nedskrivning av </w:t>
            </w:r>
            <w:proofErr w:type="spellStart"/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-/materiella anläggningstillgångar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91C8C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-1,4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915AE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-2,6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1807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B11C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sz w:val="16"/>
                <w:szCs w:val="16"/>
              </w:rPr>
              <w:t>-31,7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6CFDE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-31,7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17528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5A494929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76B4F9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Övriga rörelsekostnader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99BA3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47443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D0316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C272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sz w:val="16"/>
                <w:szCs w:val="1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7CE6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706B5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08EEBD5F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8888A07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Rörelsens kostnader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9240A1B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-96,5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6A4864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-101,9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0C0FF4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70F2A2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sz w:val="16"/>
                <w:szCs w:val="16"/>
              </w:rPr>
              <w:t>-1 212,8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BD1EE31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-1 214,0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FABB294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1,1</w:t>
            </w:r>
          </w:p>
        </w:tc>
      </w:tr>
      <w:tr w:rsidR="00A87A8C" w14:paraId="66DF2D29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9E3A4AD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Rörelseresultat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D315F68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A25FB77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-0,8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E2CC02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5D53DCF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0B128A2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770A10C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78171259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D47C00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Övriga ränteintäkter och liknande resultatposter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5DA60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76E90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9746A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3C1C6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sz w:val="16"/>
                <w:szCs w:val="16"/>
              </w:rPr>
              <w:t>0,1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DBCC4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FA483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4A0CEABE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27DB97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Räntekostnader och liknande resultatposter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0020E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-0,1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B9088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462C8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-0,1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E8764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sz w:val="16"/>
                <w:szCs w:val="16"/>
              </w:rPr>
              <w:t>-0,1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D0762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-0,1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0FE69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1D850410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C966ABD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Finansiella intäkter och kostnader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189CE31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EB81F9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8A1C6D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156FDC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1538282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BC27164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43E8DE36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2F9A1AC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Resultat efter finansiella poster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DBBFE62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01AA03D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-0,8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8820533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F0E427B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1193F6E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0A34DB4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5E0FF14D" w14:textId="77777777" w:rsidTr="009B7C64">
        <w:trPr>
          <w:trHeight w:val="30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7A1A624" w14:textId="77777777" w:rsidR="00A87A8C" w:rsidRDefault="00A87A8C" w:rsidP="009B7C64">
            <w:pPr>
              <w:spacing w:after="0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Årets resultat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F6F9BD3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7B9EB4F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-0,8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28500B4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378CC69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C46BBE0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0A25126" w14:textId="77777777" w:rsidR="00A87A8C" w:rsidRDefault="00A87A8C" w:rsidP="009B7C64">
            <w:pPr>
              <w:spacing w:after="0"/>
              <w:jc w:val="center"/>
            </w:pPr>
            <w:r w:rsidRPr="573DA58D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</w:tr>
    </w:tbl>
    <w:p w14:paraId="24A8F04A" w14:textId="77777777" w:rsidR="00A87A8C" w:rsidRDefault="00A87A8C" w:rsidP="00A87A8C">
      <w:pPr>
        <w:pStyle w:val="GSNormal"/>
        <w:rPr>
          <w:color w:val="FF0000"/>
          <w:sz w:val="16"/>
          <w:szCs w:val="16"/>
        </w:rPr>
      </w:pPr>
    </w:p>
    <w:p w14:paraId="00170E25" w14:textId="77777777" w:rsidR="00A87A8C" w:rsidRPr="009D083F" w:rsidRDefault="00A87A8C" w:rsidP="00A87A8C">
      <w:pPr>
        <w:pStyle w:val="GSNormal"/>
        <w:rPr>
          <w:sz w:val="16"/>
          <w:szCs w:val="16"/>
        </w:rPr>
      </w:pPr>
      <w:r w:rsidRPr="4144A15A">
        <w:rPr>
          <w:sz w:val="16"/>
          <w:szCs w:val="16"/>
        </w:rPr>
        <w:t>Resultatet är före uppbokning i månadsbokslutet</w:t>
      </w:r>
    </w:p>
    <w:p w14:paraId="0F864AF4" w14:textId="77777777" w:rsidR="00A87A8C" w:rsidRPr="00C66A26" w:rsidRDefault="00A87A8C" w:rsidP="00A87A8C">
      <w:pPr>
        <w:pStyle w:val="GSNormal"/>
        <w:rPr>
          <w:color w:val="FF0000"/>
          <w:sz w:val="16"/>
          <w:szCs w:val="16"/>
        </w:rPr>
      </w:pPr>
    </w:p>
    <w:p w14:paraId="2DF63E3F" w14:textId="77777777" w:rsidR="00A87A8C" w:rsidRPr="00BF7485" w:rsidRDefault="00A87A8C" w:rsidP="00A87A8C">
      <w:pPr>
        <w:pStyle w:val="GSNormal"/>
        <w:rPr>
          <w:rStyle w:val="normaltextrun"/>
          <w:rFonts w:cstheme="minorBidi"/>
          <w:b/>
          <w:bCs/>
          <w:sz w:val="24"/>
        </w:rPr>
      </w:pPr>
      <w:bookmarkStart w:id="5" w:name="_Hlk160529507"/>
      <w:r w:rsidRPr="00BF7485">
        <w:rPr>
          <w:rStyle w:val="normaltextrun"/>
          <w:rFonts w:cstheme="minorBidi"/>
          <w:b/>
          <w:bCs/>
          <w:sz w:val="24"/>
        </w:rPr>
        <w:t>Kommentar Trafikavtalet</w:t>
      </w:r>
    </w:p>
    <w:bookmarkEnd w:id="5"/>
    <w:p w14:paraId="5ABEC295" w14:textId="467910BD" w:rsidR="00A87A8C" w:rsidRDefault="00A87A8C" w:rsidP="00A87A8C">
      <w:pPr>
        <w:pStyle w:val="GSNormal"/>
        <w:rPr>
          <w:rStyle w:val="normaltextrun"/>
          <w:rFonts w:cstheme="minorBidi"/>
        </w:rPr>
      </w:pPr>
      <w:r w:rsidRPr="00BF7485">
        <w:rPr>
          <w:rStyle w:val="normaltextrun"/>
          <w:rFonts w:cstheme="minorBidi"/>
        </w:rPr>
        <w:t xml:space="preserve">Trafikavtalet </w:t>
      </w:r>
      <w:r w:rsidR="00571668">
        <w:rPr>
          <w:rStyle w:val="normaltextrun"/>
          <w:rFonts w:cstheme="minorBidi"/>
        </w:rPr>
        <w:t>redo</w:t>
      </w:r>
      <w:r w:rsidRPr="00BF7485">
        <w:rPr>
          <w:rStyle w:val="normaltextrun"/>
          <w:rFonts w:cstheme="minorBidi"/>
        </w:rPr>
        <w:t>visar för januari</w:t>
      </w:r>
      <w:r w:rsidR="00571668">
        <w:rPr>
          <w:rStyle w:val="normaltextrun"/>
          <w:rFonts w:cstheme="minorBidi"/>
        </w:rPr>
        <w:t xml:space="preserve"> månad</w:t>
      </w:r>
      <w:r w:rsidRPr="00BF7485">
        <w:rPr>
          <w:rStyle w:val="normaltextrun"/>
          <w:rFonts w:cstheme="minorBidi"/>
        </w:rPr>
        <w:t xml:space="preserve"> ett </w:t>
      </w:r>
      <w:r w:rsidR="00571668">
        <w:rPr>
          <w:rStyle w:val="normaltextrun"/>
          <w:rFonts w:cstheme="minorBidi"/>
        </w:rPr>
        <w:t xml:space="preserve">positivt </w:t>
      </w:r>
      <w:r w:rsidRPr="00BF7485">
        <w:rPr>
          <w:rStyle w:val="normaltextrun"/>
          <w:rFonts w:cstheme="minorBidi"/>
        </w:rPr>
        <w:t xml:space="preserve">rörelseresultat före finansiellt netto </w:t>
      </w:r>
      <w:r w:rsidR="008A5867">
        <w:rPr>
          <w:rStyle w:val="normaltextrun"/>
          <w:rFonts w:cstheme="minorBidi"/>
        </w:rPr>
        <w:t>om</w:t>
      </w:r>
      <w:r w:rsidRPr="00BF7485">
        <w:rPr>
          <w:rStyle w:val="normaltextrun"/>
          <w:rFonts w:cstheme="minorBidi"/>
        </w:rPr>
        <w:t xml:space="preserve"> </w:t>
      </w:r>
      <w:r>
        <w:rPr>
          <w:rStyle w:val="normaltextrun"/>
          <w:rFonts w:cstheme="minorBidi"/>
        </w:rPr>
        <w:t xml:space="preserve">4,3 </w:t>
      </w:r>
      <w:r w:rsidRPr="00BF7485">
        <w:rPr>
          <w:rStyle w:val="normaltextrun"/>
          <w:rFonts w:cstheme="minorBidi"/>
        </w:rPr>
        <w:t xml:space="preserve">mnkr, vilket är </w:t>
      </w:r>
      <w:r>
        <w:rPr>
          <w:rStyle w:val="normaltextrun"/>
          <w:rFonts w:cstheme="minorBidi"/>
        </w:rPr>
        <w:t>5</w:t>
      </w:r>
      <w:r w:rsidR="00D91E7C">
        <w:rPr>
          <w:rStyle w:val="normaltextrun"/>
          <w:rFonts w:cstheme="minorBidi"/>
        </w:rPr>
        <w:t>,0</w:t>
      </w:r>
      <w:r w:rsidRPr="00BF7485">
        <w:rPr>
          <w:rStyle w:val="normaltextrun"/>
          <w:rFonts w:cstheme="minorBidi"/>
        </w:rPr>
        <w:t xml:space="preserve"> mnkr högre än budget för januari.</w:t>
      </w:r>
    </w:p>
    <w:p w14:paraId="01A3A763" w14:textId="77777777" w:rsidR="000D24EA" w:rsidRPr="00BF7485" w:rsidRDefault="000D24EA" w:rsidP="00A87A8C">
      <w:pPr>
        <w:pStyle w:val="GSNormal"/>
        <w:rPr>
          <w:rStyle w:val="normaltextrun"/>
          <w:rFonts w:cstheme="minorBidi"/>
        </w:rPr>
      </w:pPr>
    </w:p>
    <w:p w14:paraId="633BB1A2" w14:textId="4F07142B" w:rsidR="00A87A8C" w:rsidRDefault="00EA229E" w:rsidP="00A87A8C">
      <w:pPr>
        <w:pStyle w:val="GSNormal"/>
        <w:rPr>
          <w:rStyle w:val="normaltextrun"/>
          <w:rFonts w:cstheme="minorBidi"/>
        </w:rPr>
      </w:pPr>
      <w:r>
        <w:rPr>
          <w:rStyle w:val="normaltextrun"/>
          <w:rFonts w:cstheme="minorBidi"/>
          <w:b/>
          <w:bCs/>
        </w:rPr>
        <w:t>Rörelsen intäkter</w:t>
      </w:r>
      <w:r w:rsidR="000D24EA">
        <w:rPr>
          <w:rStyle w:val="normaltextrun"/>
          <w:rFonts w:cstheme="minorBidi"/>
          <w:b/>
          <w:bCs/>
        </w:rPr>
        <w:t xml:space="preserve"> </w:t>
      </w:r>
      <w:r w:rsidR="00A87A8C" w:rsidRPr="6194DF1E">
        <w:rPr>
          <w:rStyle w:val="normaltextrun"/>
          <w:rFonts w:cstheme="minorBidi"/>
        </w:rPr>
        <w:t>har en liten negativ avvikelse mot budget med 0,4 mnkr pga periodisering.</w:t>
      </w:r>
    </w:p>
    <w:p w14:paraId="3E9CABF7" w14:textId="77777777" w:rsidR="000D24EA" w:rsidRPr="00FF59C3" w:rsidRDefault="000D24EA" w:rsidP="00A87A8C">
      <w:pPr>
        <w:pStyle w:val="GSNormal"/>
        <w:rPr>
          <w:rStyle w:val="normaltextrun"/>
          <w:rFonts w:cstheme="minorBidi"/>
          <w:color w:val="FF0000"/>
        </w:rPr>
      </w:pPr>
    </w:p>
    <w:p w14:paraId="0BA51758" w14:textId="5F300125" w:rsidR="00A06576" w:rsidRDefault="000D24EA" w:rsidP="00A87A8C">
      <w:pPr>
        <w:pStyle w:val="GSNormal"/>
        <w:rPr>
          <w:rStyle w:val="normaltextrun"/>
          <w:rFonts w:cstheme="minorBidi"/>
          <w:color w:val="000000" w:themeColor="text1"/>
        </w:rPr>
      </w:pPr>
      <w:r>
        <w:rPr>
          <w:rStyle w:val="normaltextrun"/>
          <w:rFonts w:cstheme="minorBidi"/>
          <w:b/>
          <w:bCs/>
        </w:rPr>
        <w:t>Rörelsens kostnader</w:t>
      </w:r>
      <w:r w:rsidR="00A87A8C" w:rsidRPr="6194DF1E">
        <w:rPr>
          <w:rStyle w:val="normaltextrun"/>
          <w:rFonts w:cstheme="minorBidi"/>
        </w:rPr>
        <w:t xml:space="preserve"> avviker totalt med 5,5 mnk</w:t>
      </w:r>
      <w:r w:rsidR="00A87A8C" w:rsidRPr="6194DF1E">
        <w:rPr>
          <w:rStyle w:val="normaltextrun"/>
          <w:rFonts w:cstheme="minorBidi"/>
          <w:color w:val="000000" w:themeColor="text1"/>
        </w:rPr>
        <w:t>r i lägre kostnader</w:t>
      </w:r>
      <w:r w:rsidR="00535DCD">
        <w:rPr>
          <w:rStyle w:val="normaltextrun"/>
          <w:rFonts w:cstheme="minorBidi"/>
          <w:color w:val="000000" w:themeColor="text1"/>
        </w:rPr>
        <w:t xml:space="preserve">, vilket </w:t>
      </w:r>
      <w:r w:rsidR="00080735">
        <w:rPr>
          <w:rStyle w:val="normaltextrun"/>
          <w:rFonts w:cstheme="minorBidi"/>
          <w:color w:val="000000" w:themeColor="text1"/>
        </w:rPr>
        <w:t xml:space="preserve">i huvudsak </w:t>
      </w:r>
      <w:r w:rsidR="00535DCD">
        <w:rPr>
          <w:rStyle w:val="normaltextrun"/>
          <w:rFonts w:cstheme="minorBidi"/>
          <w:color w:val="000000" w:themeColor="text1"/>
        </w:rPr>
        <w:t>förklara</w:t>
      </w:r>
      <w:r w:rsidR="004E4FDE">
        <w:rPr>
          <w:rStyle w:val="normaltextrun"/>
          <w:rFonts w:cstheme="minorBidi"/>
          <w:color w:val="000000" w:themeColor="text1"/>
        </w:rPr>
        <w:t>s av</w:t>
      </w:r>
      <w:r w:rsidR="00BC7AF2">
        <w:rPr>
          <w:rStyle w:val="normaltextrun"/>
          <w:rFonts w:cstheme="minorBidi"/>
          <w:color w:val="000000" w:themeColor="text1"/>
        </w:rPr>
        <w:t xml:space="preserve"> periodiseringar</w:t>
      </w:r>
      <w:r w:rsidR="003F01C3">
        <w:rPr>
          <w:rStyle w:val="normaltextrun"/>
          <w:rFonts w:cstheme="minorBidi"/>
          <w:color w:val="000000" w:themeColor="text1"/>
        </w:rPr>
        <w:t xml:space="preserve"> och följande poster</w:t>
      </w:r>
      <w:r w:rsidR="004E4FDE">
        <w:rPr>
          <w:rStyle w:val="normaltextrun"/>
          <w:rFonts w:cstheme="minorBidi"/>
          <w:color w:val="000000" w:themeColor="text1"/>
        </w:rPr>
        <w:t>:</w:t>
      </w:r>
    </w:p>
    <w:p w14:paraId="258C32C2" w14:textId="4DEAD602" w:rsidR="002D6BD4" w:rsidRDefault="008A267C" w:rsidP="00A06576">
      <w:pPr>
        <w:pStyle w:val="GSNormal"/>
        <w:numPr>
          <w:ilvl w:val="0"/>
          <w:numId w:val="2"/>
        </w:numPr>
        <w:rPr>
          <w:rStyle w:val="normaltextrun"/>
          <w:rFonts w:cstheme="minorBidi"/>
          <w:color w:val="000000" w:themeColor="text1"/>
        </w:rPr>
      </w:pPr>
      <w:r>
        <w:rPr>
          <w:rStyle w:val="normaltextrun"/>
          <w:rFonts w:cstheme="minorBidi"/>
          <w:color w:val="000000" w:themeColor="text1"/>
        </w:rPr>
        <w:t xml:space="preserve">Högre materialkostnader </w:t>
      </w:r>
      <w:r w:rsidR="008A1AE3">
        <w:rPr>
          <w:rStyle w:val="normaltextrun"/>
          <w:rFonts w:cstheme="minorBidi"/>
          <w:color w:val="000000" w:themeColor="text1"/>
        </w:rPr>
        <w:t>då det skett</w:t>
      </w:r>
      <w:r w:rsidR="00CA1E8B">
        <w:rPr>
          <w:rStyle w:val="normaltextrun"/>
          <w:rFonts w:cstheme="minorBidi"/>
          <w:color w:val="000000" w:themeColor="text1"/>
        </w:rPr>
        <w:t xml:space="preserve"> högre material</w:t>
      </w:r>
      <w:r w:rsidR="00661000">
        <w:rPr>
          <w:rStyle w:val="normaltextrun"/>
          <w:rFonts w:cstheme="minorBidi"/>
          <w:color w:val="000000" w:themeColor="text1"/>
        </w:rPr>
        <w:t xml:space="preserve">uttag mot vagn om 5,4 </w:t>
      </w:r>
      <w:r w:rsidR="00872346">
        <w:rPr>
          <w:rStyle w:val="normaltextrun"/>
          <w:rFonts w:cstheme="minorBidi"/>
          <w:color w:val="000000" w:themeColor="text1"/>
        </w:rPr>
        <w:t>m</w:t>
      </w:r>
      <w:r w:rsidR="00661000">
        <w:rPr>
          <w:rStyle w:val="normaltextrun"/>
          <w:rFonts w:cstheme="minorBidi"/>
          <w:color w:val="000000" w:themeColor="text1"/>
        </w:rPr>
        <w:t>nkr</w:t>
      </w:r>
    </w:p>
    <w:p w14:paraId="58A72306" w14:textId="3AFBE82E" w:rsidR="00C1424C" w:rsidRPr="00080735" w:rsidRDefault="00943113" w:rsidP="00080735">
      <w:pPr>
        <w:pStyle w:val="GSNormal"/>
        <w:numPr>
          <w:ilvl w:val="0"/>
          <w:numId w:val="2"/>
        </w:numPr>
        <w:rPr>
          <w:rStyle w:val="normaltextrun"/>
          <w:rFonts w:cstheme="minorBidi"/>
          <w:color w:val="000000" w:themeColor="text1"/>
        </w:rPr>
      </w:pPr>
      <w:r>
        <w:rPr>
          <w:rStyle w:val="normaltextrun"/>
          <w:rFonts w:cstheme="minorBidi"/>
          <w:color w:val="000000" w:themeColor="text1"/>
        </w:rPr>
        <w:t>Lägre externa kostnader</w:t>
      </w:r>
      <w:r w:rsidR="003E1D02">
        <w:rPr>
          <w:rStyle w:val="normaltextrun"/>
          <w:rFonts w:cstheme="minorBidi"/>
          <w:color w:val="000000" w:themeColor="text1"/>
        </w:rPr>
        <w:t xml:space="preserve"> utgörs främst av</w:t>
      </w:r>
      <w:r w:rsidR="00BD19DD">
        <w:rPr>
          <w:rStyle w:val="normaltextrun"/>
          <w:rFonts w:cstheme="minorBidi"/>
          <w:color w:val="000000" w:themeColor="text1"/>
        </w:rPr>
        <w:t xml:space="preserve"> lägre hyra för </w:t>
      </w:r>
      <w:r w:rsidR="00A330AD">
        <w:rPr>
          <w:rStyle w:val="normaltextrun"/>
          <w:rFonts w:cstheme="minorBidi"/>
          <w:color w:val="000000" w:themeColor="text1"/>
        </w:rPr>
        <w:t xml:space="preserve">Ringön etapp 2 om </w:t>
      </w:r>
      <w:r w:rsidR="00225628">
        <w:rPr>
          <w:rStyle w:val="normaltextrun"/>
          <w:rFonts w:cstheme="minorBidi"/>
          <w:color w:val="000000" w:themeColor="text1"/>
        </w:rPr>
        <w:t xml:space="preserve">5,1 </w:t>
      </w:r>
      <w:r w:rsidR="00872346">
        <w:rPr>
          <w:rStyle w:val="normaltextrun"/>
          <w:rFonts w:cstheme="minorBidi"/>
          <w:color w:val="000000" w:themeColor="text1"/>
        </w:rPr>
        <w:t>m</w:t>
      </w:r>
      <w:r w:rsidR="00225628">
        <w:rPr>
          <w:rStyle w:val="normaltextrun"/>
          <w:rFonts w:cstheme="minorBidi"/>
          <w:color w:val="000000" w:themeColor="text1"/>
        </w:rPr>
        <w:t xml:space="preserve">nkr, </w:t>
      </w:r>
      <w:r w:rsidR="003E1D02">
        <w:rPr>
          <w:rStyle w:val="normaltextrun"/>
          <w:rFonts w:cstheme="minorBidi"/>
          <w:color w:val="000000" w:themeColor="text1"/>
        </w:rPr>
        <w:t>då</w:t>
      </w:r>
      <w:r w:rsidR="00225628">
        <w:rPr>
          <w:rStyle w:val="normaltextrun"/>
          <w:rFonts w:cstheme="minorBidi"/>
          <w:color w:val="000000" w:themeColor="text1"/>
        </w:rPr>
        <w:t xml:space="preserve"> </w:t>
      </w:r>
      <w:r w:rsidR="00872346">
        <w:rPr>
          <w:rStyle w:val="normaltextrun"/>
          <w:rFonts w:cstheme="minorBidi"/>
          <w:color w:val="000000" w:themeColor="text1"/>
        </w:rPr>
        <w:t>hyran</w:t>
      </w:r>
      <w:r w:rsidR="00225628">
        <w:rPr>
          <w:rStyle w:val="normaltextrun"/>
          <w:rFonts w:cstheme="minorBidi"/>
          <w:color w:val="000000" w:themeColor="text1"/>
        </w:rPr>
        <w:t xml:space="preserve"> var budgeter</w:t>
      </w:r>
      <w:r w:rsidR="008F2BF0">
        <w:rPr>
          <w:rStyle w:val="normaltextrun"/>
          <w:rFonts w:cstheme="minorBidi"/>
          <w:color w:val="000000" w:themeColor="text1"/>
        </w:rPr>
        <w:t>ad i 12:e delar</w:t>
      </w:r>
      <w:r w:rsidR="00A2230A">
        <w:rPr>
          <w:rStyle w:val="normaltextrun"/>
          <w:rFonts w:cstheme="minorBidi"/>
          <w:color w:val="000000" w:themeColor="text1"/>
        </w:rPr>
        <w:t xml:space="preserve"> Ringön etapp 2 startar i mars.</w:t>
      </w:r>
    </w:p>
    <w:p w14:paraId="74008EEE" w14:textId="1A20539A" w:rsidR="00661000" w:rsidRDefault="00661000" w:rsidP="00A06576">
      <w:pPr>
        <w:pStyle w:val="GSNormal"/>
        <w:numPr>
          <w:ilvl w:val="0"/>
          <w:numId w:val="2"/>
        </w:numPr>
        <w:rPr>
          <w:rStyle w:val="normaltextrun"/>
          <w:rFonts w:cstheme="minorBidi"/>
          <w:color w:val="000000" w:themeColor="text1"/>
        </w:rPr>
      </w:pPr>
      <w:r>
        <w:rPr>
          <w:rStyle w:val="normaltextrun"/>
          <w:rFonts w:cstheme="minorBidi"/>
          <w:color w:val="000000" w:themeColor="text1"/>
        </w:rPr>
        <w:t xml:space="preserve">Lägre personalkostnader om 3,1 </w:t>
      </w:r>
      <w:r w:rsidR="00872346">
        <w:rPr>
          <w:rStyle w:val="normaltextrun"/>
          <w:rFonts w:cstheme="minorBidi"/>
          <w:color w:val="000000" w:themeColor="text1"/>
        </w:rPr>
        <w:t>m</w:t>
      </w:r>
      <w:r>
        <w:rPr>
          <w:rStyle w:val="normaltextrun"/>
          <w:rFonts w:cstheme="minorBidi"/>
          <w:color w:val="000000" w:themeColor="text1"/>
        </w:rPr>
        <w:t>nkr</w:t>
      </w:r>
      <w:r w:rsidR="00B95A2C">
        <w:rPr>
          <w:rStyle w:val="normaltextrun"/>
          <w:rFonts w:cstheme="minorBidi"/>
          <w:color w:val="000000" w:themeColor="text1"/>
        </w:rPr>
        <w:t xml:space="preserve">, viket beror </w:t>
      </w:r>
      <w:r w:rsidR="00B95A2C" w:rsidRPr="00C255F2">
        <w:rPr>
          <w:rStyle w:val="normaltextrun"/>
          <w:rFonts w:cstheme="minorBidi"/>
          <w:color w:val="000000" w:themeColor="text1"/>
        </w:rPr>
        <w:t xml:space="preserve">på </w:t>
      </w:r>
      <w:r w:rsidR="00C255F2">
        <w:rPr>
          <w:rStyle w:val="normaltextrun"/>
          <w:rFonts w:cstheme="minorBidi"/>
          <w:color w:val="000000" w:themeColor="text1"/>
        </w:rPr>
        <w:t>vakanta tjänster</w:t>
      </w:r>
    </w:p>
    <w:p w14:paraId="041A7616" w14:textId="4146B4B3" w:rsidR="00A87A8C" w:rsidRDefault="00B61AC4" w:rsidP="00080735">
      <w:pPr>
        <w:pStyle w:val="GSNormal"/>
        <w:numPr>
          <w:ilvl w:val="0"/>
          <w:numId w:val="2"/>
        </w:numPr>
        <w:rPr>
          <w:rStyle w:val="normaltextrun"/>
          <w:rFonts w:cstheme="minorBidi"/>
          <w:color w:val="000000" w:themeColor="text1"/>
        </w:rPr>
      </w:pPr>
      <w:r>
        <w:rPr>
          <w:rStyle w:val="normaltextrun"/>
          <w:rFonts w:cstheme="minorBidi"/>
          <w:color w:val="000000" w:themeColor="text1"/>
        </w:rPr>
        <w:t>Lägre avskrivningar om 1,2 Mnkr p</w:t>
      </w:r>
      <w:r w:rsidR="00E27AC8">
        <w:rPr>
          <w:rStyle w:val="normaltextrun"/>
          <w:rFonts w:cstheme="minorBidi"/>
          <w:color w:val="000000" w:themeColor="text1"/>
        </w:rPr>
        <w:t xml:space="preserve">ga </w:t>
      </w:r>
      <w:r>
        <w:rPr>
          <w:rStyle w:val="normaltextrun"/>
          <w:rFonts w:cstheme="minorBidi"/>
          <w:color w:val="000000" w:themeColor="text1"/>
        </w:rPr>
        <w:t>senarelagda investeringar</w:t>
      </w:r>
    </w:p>
    <w:p w14:paraId="486CFAD4" w14:textId="77777777" w:rsidR="00585F6C" w:rsidRDefault="00585F6C" w:rsidP="00585F6C">
      <w:pPr>
        <w:pStyle w:val="GSNormal"/>
        <w:rPr>
          <w:rStyle w:val="normaltextrun"/>
          <w:rFonts w:cstheme="minorBidi"/>
          <w:color w:val="000000" w:themeColor="text1"/>
        </w:rPr>
      </w:pPr>
    </w:p>
    <w:p w14:paraId="1E63C39E" w14:textId="022A01A4" w:rsidR="00585F6C" w:rsidRPr="00A12BA7" w:rsidRDefault="00A12BA7" w:rsidP="00080735">
      <w:pPr>
        <w:pStyle w:val="GSNormal"/>
        <w:rPr>
          <w:rStyle w:val="normaltextrun"/>
          <w:rFonts w:cstheme="minorBidi"/>
          <w:b/>
          <w:bCs/>
          <w:sz w:val="24"/>
        </w:rPr>
      </w:pPr>
      <w:r>
        <w:rPr>
          <w:rStyle w:val="normaltextrun"/>
          <w:rFonts w:cstheme="minorBidi"/>
          <w:b/>
          <w:bCs/>
          <w:sz w:val="24"/>
        </w:rPr>
        <w:t>Prognos 2024</w:t>
      </w:r>
    </w:p>
    <w:p w14:paraId="0630E27E" w14:textId="0CF29302" w:rsidR="00A87A8C" w:rsidRDefault="004F013E" w:rsidP="00A87A8C">
      <w:pPr>
        <w:pStyle w:val="GSNormal"/>
        <w:rPr>
          <w:rStyle w:val="normaltextrun"/>
          <w:rFonts w:cstheme="minorBidi"/>
          <w:color w:val="000000" w:themeColor="text1"/>
        </w:rPr>
      </w:pPr>
      <w:r w:rsidRPr="00EA7ED7">
        <w:rPr>
          <w:rStyle w:val="normaltextrun"/>
          <w:rFonts w:cstheme="minorBidi"/>
          <w:color w:val="000000" w:themeColor="text1"/>
        </w:rPr>
        <w:t>Prognosen</w:t>
      </w:r>
      <w:r w:rsidR="00A87A8C" w:rsidRPr="00EA7ED7">
        <w:rPr>
          <w:rStyle w:val="normaltextrun"/>
          <w:rFonts w:cstheme="minorBidi"/>
          <w:color w:val="000000" w:themeColor="text1"/>
        </w:rPr>
        <w:t xml:space="preserve"> </w:t>
      </w:r>
      <w:r w:rsidR="004765E6">
        <w:rPr>
          <w:rStyle w:val="normaltextrun"/>
          <w:rFonts w:cstheme="minorBidi"/>
          <w:color w:val="000000" w:themeColor="text1"/>
        </w:rPr>
        <w:t>redo</w:t>
      </w:r>
      <w:r w:rsidR="00A87A8C" w:rsidRPr="00EA7ED7">
        <w:rPr>
          <w:rStyle w:val="normaltextrun"/>
          <w:rFonts w:cstheme="minorBidi"/>
          <w:color w:val="000000" w:themeColor="text1"/>
        </w:rPr>
        <w:t xml:space="preserve">visar ett helårsresultat </w:t>
      </w:r>
      <w:r w:rsidR="00DF6A30">
        <w:rPr>
          <w:rStyle w:val="normaltextrun"/>
          <w:rFonts w:cstheme="minorBidi"/>
          <w:color w:val="000000" w:themeColor="text1"/>
        </w:rPr>
        <w:t xml:space="preserve">som är </w:t>
      </w:r>
      <w:r w:rsidR="00A87A8C" w:rsidRPr="00EA7ED7">
        <w:rPr>
          <w:rStyle w:val="normaltextrun"/>
          <w:rFonts w:cstheme="minorBidi"/>
          <w:color w:val="000000" w:themeColor="text1"/>
        </w:rPr>
        <w:t xml:space="preserve">i balans med budgeten. </w:t>
      </w:r>
    </w:p>
    <w:p w14:paraId="74F27DB9" w14:textId="77777777" w:rsidR="00A12BA7" w:rsidRPr="0079252C" w:rsidRDefault="00A12BA7" w:rsidP="00A87A8C">
      <w:pPr>
        <w:pStyle w:val="GSNormal"/>
        <w:rPr>
          <w:rStyle w:val="normaltextrun"/>
          <w:rFonts w:cstheme="minorBidi"/>
          <w:color w:val="FF0000"/>
        </w:rPr>
      </w:pPr>
    </w:p>
    <w:p w14:paraId="1C6DAD9A" w14:textId="04F152FD" w:rsidR="00A87A8C" w:rsidRPr="0069604F" w:rsidRDefault="00A87A8C" w:rsidP="00A87A8C">
      <w:pPr>
        <w:pStyle w:val="GSNormal"/>
        <w:spacing w:after="0"/>
        <w:textAlignment w:val="baseline"/>
        <w:rPr>
          <w:rStyle w:val="normaltextrun"/>
          <w:rFonts w:cstheme="minorBidi"/>
        </w:rPr>
      </w:pPr>
      <w:r w:rsidRPr="0069604F">
        <w:rPr>
          <w:rStyle w:val="normaltextrun"/>
          <w:rFonts w:cstheme="minorBidi"/>
          <w:b/>
          <w:bCs/>
        </w:rPr>
        <w:lastRenderedPageBreak/>
        <w:t>Åtgärd</w:t>
      </w:r>
      <w:r w:rsidR="00C00B67">
        <w:rPr>
          <w:rStyle w:val="normaltextrun"/>
          <w:rFonts w:cstheme="minorBidi"/>
          <w:b/>
          <w:bCs/>
        </w:rPr>
        <w:t>er</w:t>
      </w:r>
      <w:r w:rsidRPr="0069604F">
        <w:rPr>
          <w:rStyle w:val="normaltextrun"/>
          <w:rFonts w:cstheme="minorBidi"/>
          <w:b/>
          <w:bCs/>
        </w:rPr>
        <w:t xml:space="preserve">: </w:t>
      </w:r>
    </w:p>
    <w:p w14:paraId="36A9BEC5" w14:textId="77777777" w:rsidR="00A87A8C" w:rsidRPr="0069604F" w:rsidRDefault="00A87A8C" w:rsidP="00A87A8C">
      <w:pPr>
        <w:pStyle w:val="GSNormal"/>
        <w:spacing w:after="0"/>
        <w:textAlignment w:val="baseline"/>
        <w:rPr>
          <w:rFonts w:cstheme="minorBidi"/>
        </w:rPr>
      </w:pPr>
      <w:r w:rsidRPr="0069604F">
        <w:rPr>
          <w:rFonts w:cstheme="minorBidi"/>
        </w:rPr>
        <w:t xml:space="preserve">Under 2024 kommer handlingsplanen ”Kompetensförsörjning spårvagnsförare” fortsatt vara i fokus för att säkerställa kontraktets leverans. </w:t>
      </w:r>
    </w:p>
    <w:p w14:paraId="29084C88" w14:textId="77777777" w:rsidR="00A87A8C" w:rsidRDefault="00A87A8C" w:rsidP="00A87A8C">
      <w:pPr>
        <w:pStyle w:val="GSNormal"/>
        <w:spacing w:after="0"/>
        <w:textAlignment w:val="baseline"/>
        <w:rPr>
          <w:rFonts w:cstheme="minorBidi"/>
        </w:rPr>
      </w:pPr>
    </w:p>
    <w:p w14:paraId="3E6CC364" w14:textId="77777777" w:rsidR="00A87A8C" w:rsidRPr="0069604F" w:rsidRDefault="00A87A8C" w:rsidP="00A87A8C">
      <w:pPr>
        <w:pStyle w:val="GSNormal"/>
        <w:spacing w:after="0"/>
        <w:textAlignment w:val="baseline"/>
        <w:rPr>
          <w:rFonts w:cstheme="minorBidi"/>
        </w:rPr>
      </w:pPr>
      <w:r w:rsidRPr="0069604F">
        <w:rPr>
          <w:rFonts w:cstheme="minorBidi"/>
        </w:rPr>
        <w:t>Prognos</w:t>
      </w:r>
      <w:r>
        <w:rPr>
          <w:rFonts w:cstheme="minorBidi"/>
        </w:rPr>
        <w:t xml:space="preserve"> februari behöver förklara förändringar gällande</w:t>
      </w:r>
      <w:r w:rsidRPr="0069604F">
        <w:rPr>
          <w:rFonts w:cstheme="minorBidi"/>
        </w:rPr>
        <w:t>:</w:t>
      </w:r>
    </w:p>
    <w:p w14:paraId="6D909FD4" w14:textId="77777777" w:rsidR="00A87A8C" w:rsidRDefault="00A87A8C" w:rsidP="00A87A8C">
      <w:pPr>
        <w:pStyle w:val="GSNormal"/>
        <w:numPr>
          <w:ilvl w:val="0"/>
          <w:numId w:val="1"/>
        </w:numPr>
        <w:spacing w:after="0"/>
        <w:textAlignment w:val="baseline"/>
        <w:rPr>
          <w:rFonts w:cstheme="minorBidi"/>
        </w:rPr>
      </w:pPr>
      <w:r w:rsidRPr="008663B7">
        <w:rPr>
          <w:rFonts w:cstheme="minorBidi"/>
        </w:rPr>
        <w:t>Pensions</w:t>
      </w:r>
      <w:r>
        <w:rPr>
          <w:rFonts w:cstheme="minorBidi"/>
        </w:rPr>
        <w:t>förändringar</w:t>
      </w:r>
    </w:p>
    <w:p w14:paraId="60507350" w14:textId="77777777" w:rsidR="00A87A8C" w:rsidRPr="00493EEE" w:rsidRDefault="00A87A8C" w:rsidP="00A87A8C">
      <w:pPr>
        <w:pStyle w:val="GSNormal"/>
        <w:numPr>
          <w:ilvl w:val="0"/>
          <w:numId w:val="1"/>
        </w:numPr>
        <w:spacing w:after="0"/>
        <w:textAlignment w:val="baseline"/>
        <w:rPr>
          <w:b/>
          <w:bCs/>
          <w:i/>
          <w:iCs/>
          <w:color w:val="000000" w:themeColor="text1"/>
        </w:rPr>
      </w:pPr>
      <w:r w:rsidRPr="6194DF1E">
        <w:rPr>
          <w:rFonts w:cstheme="minorBidi"/>
        </w:rPr>
        <w:t xml:space="preserve">Kostnadsminskning pga utglesning av trafik. (Analys har tagit fram att det är Hjul-underhållskostnader som kan påverkas i den mån att en effekt kan ses 2024) </w:t>
      </w:r>
    </w:p>
    <w:p w14:paraId="0964A21A" w14:textId="77777777" w:rsidR="00A87A8C" w:rsidRPr="00493EEE" w:rsidRDefault="00A87A8C" w:rsidP="00A87A8C">
      <w:pPr>
        <w:pStyle w:val="GSNormal"/>
        <w:spacing w:after="0"/>
        <w:textAlignment w:val="baseline"/>
        <w:rPr>
          <w:b/>
          <w:i/>
        </w:rPr>
      </w:pPr>
    </w:p>
    <w:p w14:paraId="74AB7158" w14:textId="77777777" w:rsidR="00A87A8C" w:rsidRPr="00493EEE" w:rsidRDefault="00A87A8C" w:rsidP="00A87A8C">
      <w:pPr>
        <w:pStyle w:val="GSNormal"/>
        <w:spacing w:after="0"/>
        <w:textAlignment w:val="baseline"/>
        <w:rPr>
          <w:b/>
          <w:i/>
        </w:rPr>
      </w:pPr>
    </w:p>
    <w:p w14:paraId="70283C1F" w14:textId="77777777" w:rsidR="00A87A8C" w:rsidRDefault="00A87A8C" w:rsidP="00A87A8C">
      <w:pPr>
        <w:pStyle w:val="GSNormal"/>
        <w:spacing w:after="0"/>
        <w:rPr>
          <w:b/>
          <w:bCs/>
          <w:i/>
          <w:iCs/>
        </w:rPr>
      </w:pPr>
    </w:p>
    <w:p w14:paraId="5510E4CC" w14:textId="77777777" w:rsidR="00A87A8C" w:rsidRDefault="00A87A8C">
      <w:pPr>
        <w:spacing w:after="160" w:line="259" w:lineRule="auto"/>
        <w:rPr>
          <w:rFonts w:asciiTheme="minorHAnsi" w:eastAsia="Cambria" w:hAnsiTheme="minorHAnsi"/>
          <w:b/>
          <w:bCs/>
          <w:i/>
          <w:iCs/>
          <w:szCs w:val="24"/>
          <w:lang w:eastAsia="en-US"/>
        </w:rPr>
      </w:pPr>
      <w:r>
        <w:rPr>
          <w:b/>
          <w:bCs/>
          <w:i/>
          <w:iCs/>
        </w:rPr>
        <w:br w:type="page"/>
      </w:r>
    </w:p>
    <w:p w14:paraId="5297548A" w14:textId="1D0E9FB0" w:rsidR="00A87A8C" w:rsidRPr="00493EEE" w:rsidRDefault="00A87A8C" w:rsidP="00A87A8C">
      <w:pPr>
        <w:pStyle w:val="GSNormal"/>
        <w:spacing w:after="0"/>
        <w:textAlignment w:val="baseline"/>
        <w:rPr>
          <w:b/>
          <w:bCs/>
          <w:i/>
          <w:iCs/>
          <w:color w:val="000000" w:themeColor="text1"/>
        </w:rPr>
      </w:pPr>
      <w:r w:rsidRPr="4144A15A">
        <w:rPr>
          <w:b/>
          <w:bCs/>
          <w:i/>
          <w:iCs/>
        </w:rPr>
        <w:lastRenderedPageBreak/>
        <w:t>Utförandeentreprenadavtalet</w:t>
      </w:r>
    </w:p>
    <w:p w14:paraId="129325E6" w14:textId="77777777" w:rsidR="00A87A8C" w:rsidRDefault="00A87A8C" w:rsidP="00A87A8C">
      <w:pPr>
        <w:pStyle w:val="paragraph"/>
        <w:spacing w:before="0" w:beforeAutospacing="0" w:after="0" w:afterAutospacing="0"/>
        <w:ind w:right="-86"/>
        <w:rPr>
          <w:color w:val="FF0000"/>
          <w:sz w:val="16"/>
          <w:szCs w:val="16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044"/>
        <w:gridCol w:w="920"/>
        <w:gridCol w:w="920"/>
        <w:gridCol w:w="798"/>
        <w:gridCol w:w="933"/>
        <w:gridCol w:w="906"/>
        <w:gridCol w:w="915"/>
      </w:tblGrid>
      <w:tr w:rsidR="00A87A8C" w14:paraId="6CBEFA38" w14:textId="77777777" w:rsidTr="009B7C64">
        <w:trPr>
          <w:trHeight w:val="76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</w:tcPr>
          <w:p w14:paraId="3221B462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Resultaträkning (Mkr)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5211E68C" w14:textId="77777777" w:rsidR="00A87A8C" w:rsidRDefault="00A87A8C" w:rsidP="009B7C64">
            <w:pPr>
              <w:spacing w:after="0"/>
              <w:jc w:val="center"/>
              <w:rPr>
                <w:rFonts w:eastAsia="Calibri" w:cs="Calibri"/>
                <w:b/>
                <w:color w:val="FFFFFF" w:themeColor="background1"/>
                <w:sz w:val="18"/>
                <w:szCs w:val="18"/>
              </w:rPr>
            </w:pPr>
            <w:r w:rsidRPr="2A021431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Utfall </w:t>
            </w:r>
            <w:r w:rsidRPr="4B45CDEE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    </w:t>
            </w:r>
            <w:r w:rsidRPr="2A021431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Jan 2024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13C665A0" w14:textId="77777777" w:rsidR="00A87A8C" w:rsidRDefault="00A87A8C" w:rsidP="009B7C64">
            <w:pPr>
              <w:spacing w:after="0"/>
              <w:jc w:val="center"/>
              <w:rPr>
                <w:rFonts w:eastAsia="Calibri" w:cs="Calibri"/>
                <w:b/>
                <w:color w:val="FFFFFF" w:themeColor="background1"/>
                <w:sz w:val="18"/>
                <w:szCs w:val="18"/>
              </w:rPr>
            </w:pPr>
            <w:r w:rsidRPr="2A021431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Budget </w:t>
            </w:r>
            <w:r w:rsidRPr="32D15AD6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410C396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5EC361B8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2A021431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Jan 2024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3D3559A8" w14:textId="77777777" w:rsidR="00A87A8C" w:rsidRDefault="00A87A8C" w:rsidP="009B7C64">
            <w:pPr>
              <w:spacing w:after="0"/>
              <w:jc w:val="right"/>
            </w:pPr>
            <w:r w:rsidRPr="2A021431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Avvikelse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42BD5427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Prognos helår 2024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74523900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Budget helår 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1161B73B" w14:textId="77777777" w:rsidR="00A87A8C" w:rsidRDefault="00A87A8C" w:rsidP="009B7C64">
            <w:pPr>
              <w:spacing w:after="0"/>
              <w:jc w:val="right"/>
            </w:pPr>
            <w:r w:rsidRPr="2A021431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Avvikelse</w:t>
            </w:r>
          </w:p>
        </w:tc>
      </w:tr>
      <w:tr w:rsidR="00A87A8C" w14:paraId="21EF4D2B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92217D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Nettoomsättning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BAF07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13,6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64155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16,1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55704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-2,5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7E5AE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201,3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32B03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193,2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5F406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8,1</w:t>
            </w:r>
          </w:p>
        </w:tc>
      </w:tr>
      <w:tr w:rsidR="00A87A8C" w14:paraId="1C0C1B3C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702CEE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Övriga rörelseintäkter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89D27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189DB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2623D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F832C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7EDA0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3E745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0,0</w:t>
            </w:r>
          </w:p>
        </w:tc>
      </w:tr>
      <w:tr w:rsidR="00A87A8C" w14:paraId="3997FD27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77D861F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Rörelsens intäkter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58F0504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13,6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AC0354F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16,1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AC9DCC8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-2,5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D27D0A2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201,3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B7B8083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193,2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BFDFB21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8,1</w:t>
            </w:r>
          </w:p>
        </w:tc>
      </w:tr>
      <w:tr w:rsidR="00A87A8C" w14:paraId="35363790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D784AE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Kostnader för varor, material och vissa köpta tjänster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9D3F0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-4,3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47807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-5,4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D7637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1,1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CF55E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-64,9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E0BBC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-64,9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51D69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0,0</w:t>
            </w:r>
          </w:p>
        </w:tc>
      </w:tr>
      <w:tr w:rsidR="00A87A8C" w14:paraId="6BB78155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FE50DF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Övriga externa kostnader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178BD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1E312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-3,5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0FF68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318C5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-43,5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9E4D4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-43,5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C79BF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0,0</w:t>
            </w:r>
          </w:p>
        </w:tc>
      </w:tr>
      <w:tr w:rsidR="00A87A8C" w14:paraId="6E4DEABB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E977E9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Personalkostnader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A245A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-7,6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14A2A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7134F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-1,1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CA6D4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-84,5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8C06B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-76,5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ACBEC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-8,1</w:t>
            </w:r>
          </w:p>
        </w:tc>
      </w:tr>
      <w:tr w:rsidR="00A87A8C" w14:paraId="15305B06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330B82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Av-/nedskrivning av </w:t>
            </w:r>
            <w:proofErr w:type="spellStart"/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-/materiella anläggningstillgångar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D5291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-0,6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5646E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-0,7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AD568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9E3F3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-8,3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AD412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-8,3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67481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0,0</w:t>
            </w:r>
          </w:p>
        </w:tc>
      </w:tr>
      <w:tr w:rsidR="00A87A8C" w14:paraId="24124B30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20A6B4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Övriga rörelsekostnader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84A11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E3FA0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BA19C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3B843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0ACF8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87CA3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0,0</w:t>
            </w:r>
          </w:p>
        </w:tc>
      </w:tr>
      <w:tr w:rsidR="00A87A8C" w14:paraId="15AEF95A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CDB3F56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Rörelsens kostnader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219AA59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-15,7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DA8E596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-16,1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37C6961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6E3AFCB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-201,3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7DBB478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-193,2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2A7427F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-8,1</w:t>
            </w:r>
          </w:p>
        </w:tc>
      </w:tr>
      <w:tr w:rsidR="00A87A8C" w14:paraId="04A42024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4A0A4DE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Rörelseresultat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1E1DB2C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-2,1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0A21102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4735464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-2,1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77951EE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448C385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68197AA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</w:tr>
      <w:tr w:rsidR="00A87A8C" w14:paraId="2B0B558F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71AE37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Övriga ränteintäkter och liknande resultatposter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5431B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C3574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B8A64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903B5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00773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AB8AC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0,0</w:t>
            </w:r>
          </w:p>
        </w:tc>
      </w:tr>
      <w:tr w:rsidR="00A87A8C" w14:paraId="2FA83957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DE15D4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Räntekostnader och liknande resultatposter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85FC7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F0F37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7741D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E7326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440E3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A1443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sz w:val="16"/>
                <w:szCs w:val="16"/>
              </w:rPr>
              <w:t>0,0</w:t>
            </w:r>
          </w:p>
        </w:tc>
      </w:tr>
      <w:tr w:rsidR="00A87A8C" w14:paraId="246B406E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3AC80C4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Finansiella intäkter och kostnader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BD4C7F3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D07B2EE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B6845D5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A4BA909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3A0A201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473AAC6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</w:tr>
      <w:tr w:rsidR="00A87A8C" w14:paraId="584A7755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1936EEA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Resultat efter finansiella poster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012CE44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-2,1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C7FD693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F57B75E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-2,1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32275A0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C076B39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3A912FF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</w:tr>
      <w:tr w:rsidR="00A87A8C" w14:paraId="3F85DBF8" w14:textId="77777777" w:rsidTr="009B7C64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BD0E8A6" w14:textId="77777777" w:rsidR="00A87A8C" w:rsidRDefault="00A87A8C" w:rsidP="009B7C64">
            <w:pPr>
              <w:spacing w:after="0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Årets resultat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879E9F1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-2,1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810A0E2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0F8F23E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-2,1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971FCD4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4FD35B8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102B27A" w14:textId="77777777" w:rsidR="00A87A8C" w:rsidRDefault="00A87A8C" w:rsidP="009B7C64">
            <w:pPr>
              <w:spacing w:after="0"/>
              <w:jc w:val="center"/>
            </w:pPr>
            <w:r w:rsidRPr="2A021431">
              <w:rPr>
                <w:rFonts w:eastAsia="Calibri" w:cs="Calibri"/>
                <w:b/>
                <w:bCs/>
                <w:sz w:val="16"/>
                <w:szCs w:val="16"/>
              </w:rPr>
              <w:t>0,0</w:t>
            </w:r>
          </w:p>
        </w:tc>
      </w:tr>
    </w:tbl>
    <w:p w14:paraId="0D549748" w14:textId="77777777" w:rsidR="00A87A8C" w:rsidRDefault="00A87A8C" w:rsidP="00A87A8C">
      <w:pPr>
        <w:pStyle w:val="paragraph"/>
        <w:spacing w:before="0" w:beforeAutospacing="0" w:after="0" w:afterAutospacing="0"/>
        <w:ind w:right="-86"/>
        <w:rPr>
          <w:color w:val="FF0000"/>
          <w:sz w:val="16"/>
          <w:szCs w:val="16"/>
        </w:rPr>
      </w:pPr>
    </w:p>
    <w:p w14:paraId="013C6500" w14:textId="77777777" w:rsidR="00A87A8C" w:rsidRDefault="00A87A8C" w:rsidP="00A87A8C">
      <w:pPr>
        <w:pStyle w:val="paragraph"/>
        <w:spacing w:before="0" w:beforeAutospacing="0" w:after="0" w:afterAutospacing="0"/>
        <w:ind w:right="-86"/>
        <w:rPr>
          <w:color w:val="FF0000"/>
          <w:sz w:val="16"/>
          <w:szCs w:val="16"/>
        </w:rPr>
      </w:pPr>
    </w:p>
    <w:p w14:paraId="04FB5B30" w14:textId="77777777" w:rsidR="00A87A8C" w:rsidRDefault="00A87A8C" w:rsidP="00A87A8C">
      <w:pPr>
        <w:pStyle w:val="paragraph"/>
        <w:spacing w:before="0" w:beforeAutospacing="0" w:after="0" w:afterAutospacing="0"/>
        <w:ind w:right="-86"/>
        <w:rPr>
          <w:color w:val="000000" w:themeColor="text1"/>
          <w:sz w:val="16"/>
          <w:szCs w:val="16"/>
        </w:rPr>
      </w:pPr>
      <w:r w:rsidRPr="4144A15A">
        <w:rPr>
          <w:sz w:val="16"/>
          <w:szCs w:val="16"/>
        </w:rPr>
        <w:t>Resultatet är före uppbokning i månadsbokslutet</w:t>
      </w:r>
    </w:p>
    <w:p w14:paraId="39E5FE08" w14:textId="77777777" w:rsidR="00A87A8C" w:rsidRDefault="00A87A8C" w:rsidP="00A87A8C">
      <w:pPr>
        <w:pStyle w:val="paragraph"/>
        <w:spacing w:before="0" w:beforeAutospacing="0" w:after="0" w:afterAutospacing="0"/>
        <w:ind w:right="-86"/>
        <w:textAlignment w:val="baseline"/>
        <w:rPr>
          <w:rFonts w:asciiTheme="minorHAnsi" w:eastAsia="Cambria" w:hAnsiTheme="minorHAnsi"/>
          <w:b/>
          <w:bCs/>
          <w:i/>
          <w:iCs/>
          <w:color w:val="FF0000"/>
          <w:lang w:eastAsia="en-US"/>
        </w:rPr>
      </w:pPr>
    </w:p>
    <w:p w14:paraId="278A7A95" w14:textId="77777777" w:rsidR="00641982" w:rsidRDefault="00A87A8C" w:rsidP="00A87A8C">
      <w:p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69C52E9A">
        <w:rPr>
          <w:rFonts w:eastAsia="Calibri" w:cs="Calibri"/>
          <w:b/>
          <w:color w:val="000000" w:themeColor="text1"/>
          <w:sz w:val="24"/>
          <w:szCs w:val="24"/>
        </w:rPr>
        <w:t>Kommentar Utförandeentreprenadavtalet</w:t>
      </w:r>
      <w:r w:rsidRPr="69C52E9A">
        <w:rPr>
          <w:rFonts w:eastAsia="Calibri" w:cs="Calibri"/>
          <w:color w:val="000000" w:themeColor="text1"/>
          <w:sz w:val="24"/>
          <w:szCs w:val="24"/>
        </w:rPr>
        <w:t xml:space="preserve"> </w:t>
      </w:r>
    </w:p>
    <w:p w14:paraId="20AA65CC" w14:textId="733D0A35" w:rsidR="00681DA1" w:rsidRDefault="00A87A8C" w:rsidP="00A87A8C">
      <w:pPr>
        <w:spacing w:after="0"/>
        <w:rPr>
          <w:rFonts w:eastAsia="Calibri" w:cs="Calibri"/>
          <w:color w:val="000000" w:themeColor="text1"/>
          <w:sz w:val="24"/>
          <w:szCs w:val="24"/>
        </w:rPr>
      </w:pPr>
      <w:r>
        <w:br/>
      </w:r>
      <w:r w:rsidR="00641982">
        <w:rPr>
          <w:rFonts w:eastAsia="Calibri" w:cs="Calibri"/>
          <w:color w:val="000000" w:themeColor="text1"/>
          <w:sz w:val="24"/>
          <w:szCs w:val="24"/>
        </w:rPr>
        <w:t>Utförandeentreprenada</w:t>
      </w:r>
      <w:r w:rsidR="001012E1">
        <w:rPr>
          <w:rFonts w:eastAsia="Calibri" w:cs="Calibri"/>
          <w:color w:val="000000" w:themeColor="text1"/>
          <w:sz w:val="24"/>
          <w:szCs w:val="24"/>
        </w:rPr>
        <w:t xml:space="preserve">vtalet </w:t>
      </w:r>
      <w:r w:rsidR="009E57BA">
        <w:rPr>
          <w:rFonts w:eastAsia="Calibri" w:cs="Calibri"/>
          <w:color w:val="000000" w:themeColor="text1"/>
          <w:sz w:val="24"/>
          <w:szCs w:val="24"/>
        </w:rPr>
        <w:t>redo</w:t>
      </w:r>
      <w:r w:rsidR="001012E1">
        <w:rPr>
          <w:rFonts w:eastAsia="Calibri" w:cs="Calibri"/>
          <w:color w:val="000000" w:themeColor="text1"/>
          <w:sz w:val="24"/>
          <w:szCs w:val="24"/>
        </w:rPr>
        <w:t xml:space="preserve">visar för </w:t>
      </w:r>
      <w:r w:rsidR="00266F1E">
        <w:rPr>
          <w:rFonts w:eastAsia="Calibri" w:cs="Calibri"/>
          <w:color w:val="000000" w:themeColor="text1"/>
          <w:sz w:val="24"/>
          <w:szCs w:val="24"/>
        </w:rPr>
        <w:t xml:space="preserve">januari </w:t>
      </w:r>
      <w:r w:rsidR="009E57BA">
        <w:rPr>
          <w:rFonts w:eastAsia="Calibri" w:cs="Calibri"/>
          <w:color w:val="000000" w:themeColor="text1"/>
          <w:sz w:val="24"/>
          <w:szCs w:val="24"/>
        </w:rPr>
        <w:t xml:space="preserve">månad ett </w:t>
      </w:r>
      <w:r w:rsidRPr="134B7C1F">
        <w:rPr>
          <w:rFonts w:eastAsia="Calibri" w:cs="Calibri"/>
          <w:color w:val="000000" w:themeColor="text1"/>
          <w:sz w:val="24"/>
          <w:szCs w:val="24"/>
        </w:rPr>
        <w:t xml:space="preserve">negativt </w:t>
      </w:r>
      <w:r w:rsidR="00C50C64">
        <w:rPr>
          <w:rFonts w:eastAsia="Calibri" w:cs="Calibri"/>
          <w:color w:val="000000" w:themeColor="text1"/>
          <w:sz w:val="24"/>
          <w:szCs w:val="24"/>
        </w:rPr>
        <w:t xml:space="preserve">rörelseresultat före finansiellt netto </w:t>
      </w:r>
      <w:r w:rsidR="0025297A">
        <w:rPr>
          <w:rFonts w:eastAsia="Calibri" w:cs="Calibri"/>
          <w:color w:val="000000" w:themeColor="text1"/>
          <w:sz w:val="24"/>
          <w:szCs w:val="24"/>
        </w:rPr>
        <w:t xml:space="preserve">om </w:t>
      </w:r>
      <w:r w:rsidRPr="134B7C1F">
        <w:rPr>
          <w:rFonts w:eastAsia="Calibri" w:cs="Calibri"/>
          <w:color w:val="000000" w:themeColor="text1"/>
          <w:sz w:val="24"/>
          <w:szCs w:val="24"/>
        </w:rPr>
        <w:t xml:space="preserve">2,1 </w:t>
      </w:r>
      <w:r w:rsidR="00D36E34">
        <w:rPr>
          <w:rFonts w:eastAsia="Calibri" w:cs="Calibri"/>
          <w:color w:val="000000" w:themeColor="text1"/>
          <w:sz w:val="24"/>
          <w:szCs w:val="24"/>
        </w:rPr>
        <w:t>m</w:t>
      </w:r>
      <w:r w:rsidRPr="134B7C1F">
        <w:rPr>
          <w:rFonts w:eastAsia="Calibri" w:cs="Calibri"/>
          <w:color w:val="000000" w:themeColor="text1"/>
          <w:sz w:val="24"/>
          <w:szCs w:val="24"/>
        </w:rPr>
        <w:t>nkr</w:t>
      </w:r>
      <w:r w:rsidRPr="7CF34628">
        <w:rPr>
          <w:rFonts w:eastAsia="Calibri" w:cs="Calibri"/>
          <w:color w:val="000000" w:themeColor="text1"/>
          <w:sz w:val="24"/>
          <w:szCs w:val="24"/>
        </w:rPr>
        <w:t xml:space="preserve">. </w:t>
      </w:r>
    </w:p>
    <w:p w14:paraId="37A6B9CC" w14:textId="77777777" w:rsidR="00681DA1" w:rsidRDefault="00681DA1" w:rsidP="00A87A8C">
      <w:pPr>
        <w:spacing w:after="0"/>
        <w:rPr>
          <w:rFonts w:eastAsia="Calibri" w:cs="Calibri"/>
          <w:color w:val="000000" w:themeColor="text1"/>
          <w:sz w:val="24"/>
          <w:szCs w:val="24"/>
        </w:rPr>
      </w:pPr>
    </w:p>
    <w:p w14:paraId="3A41685D" w14:textId="12120074" w:rsidR="00681DA1" w:rsidRDefault="008E1392" w:rsidP="00A87A8C">
      <w:p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29C43922">
        <w:rPr>
          <w:rFonts w:eastAsia="Calibri" w:cs="Calibri"/>
          <w:b/>
          <w:color w:val="000000" w:themeColor="text1"/>
          <w:sz w:val="24"/>
          <w:szCs w:val="24"/>
        </w:rPr>
        <w:t>Rörelsens intäkter</w:t>
      </w:r>
      <w:r w:rsidRPr="2EA12B62">
        <w:rPr>
          <w:rFonts w:eastAsia="Calibri" w:cs="Calibri"/>
          <w:color w:val="000000" w:themeColor="text1"/>
          <w:sz w:val="24"/>
          <w:szCs w:val="24"/>
        </w:rPr>
        <w:t xml:space="preserve"> avviker </w:t>
      </w:r>
      <w:r w:rsidR="00D36E34">
        <w:rPr>
          <w:rFonts w:eastAsia="Calibri" w:cs="Calibri"/>
          <w:color w:val="000000" w:themeColor="text1"/>
          <w:sz w:val="24"/>
          <w:szCs w:val="24"/>
        </w:rPr>
        <w:t xml:space="preserve">negativt mot budgeten </w:t>
      </w:r>
      <w:r w:rsidR="00BC7BDA">
        <w:rPr>
          <w:rFonts w:eastAsia="Calibri" w:cs="Calibri"/>
          <w:color w:val="000000" w:themeColor="text1"/>
          <w:sz w:val="24"/>
          <w:szCs w:val="24"/>
        </w:rPr>
        <w:t xml:space="preserve">om 2,5 mnkr </w:t>
      </w:r>
      <w:r w:rsidRPr="2EA12B62">
        <w:rPr>
          <w:rFonts w:eastAsia="Calibri" w:cs="Calibri"/>
          <w:color w:val="000000" w:themeColor="text1"/>
          <w:sz w:val="24"/>
          <w:szCs w:val="24"/>
        </w:rPr>
        <w:t>p</w:t>
      </w:r>
      <w:r w:rsidR="00BC7BDA">
        <w:rPr>
          <w:rFonts w:eastAsia="Calibri" w:cs="Calibri"/>
          <w:color w:val="000000" w:themeColor="text1"/>
          <w:sz w:val="24"/>
          <w:szCs w:val="24"/>
        </w:rPr>
        <w:t>ga</w:t>
      </w:r>
      <w:r w:rsidRPr="2EA12B62">
        <w:rPr>
          <w:rFonts w:eastAsia="Calibri" w:cs="Calibri"/>
          <w:color w:val="000000" w:themeColor="text1"/>
          <w:sz w:val="24"/>
          <w:szCs w:val="24"/>
        </w:rPr>
        <w:t xml:space="preserve"> att </w:t>
      </w:r>
      <w:r w:rsidRPr="5857D2E0">
        <w:rPr>
          <w:rFonts w:eastAsia="Calibri" w:cs="Calibri"/>
          <w:color w:val="000000" w:themeColor="text1"/>
          <w:sz w:val="24"/>
          <w:szCs w:val="24"/>
        </w:rPr>
        <w:t xml:space="preserve">verksamheten </w:t>
      </w:r>
      <w:r w:rsidRPr="70796E31">
        <w:rPr>
          <w:rFonts w:eastAsia="Calibri" w:cs="Calibri"/>
          <w:color w:val="000000" w:themeColor="text1"/>
          <w:sz w:val="24"/>
          <w:szCs w:val="24"/>
        </w:rPr>
        <w:t xml:space="preserve">vid tidpunkten för </w:t>
      </w:r>
      <w:r w:rsidRPr="5AF70D74">
        <w:rPr>
          <w:rFonts w:eastAsia="Calibri" w:cs="Calibri"/>
          <w:color w:val="000000" w:themeColor="text1"/>
          <w:sz w:val="24"/>
          <w:szCs w:val="24"/>
        </w:rPr>
        <w:t>budgetarbetet</w:t>
      </w:r>
      <w:r w:rsidRPr="13CB8439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Pr="5857D2E0">
        <w:rPr>
          <w:rFonts w:eastAsia="Calibri" w:cs="Calibri"/>
          <w:color w:val="000000" w:themeColor="text1"/>
          <w:sz w:val="24"/>
          <w:szCs w:val="24"/>
        </w:rPr>
        <w:t xml:space="preserve">inte </w:t>
      </w:r>
      <w:r w:rsidRPr="085381E3">
        <w:rPr>
          <w:rFonts w:eastAsia="Calibri" w:cs="Calibri"/>
          <w:color w:val="000000" w:themeColor="text1"/>
          <w:sz w:val="24"/>
          <w:szCs w:val="24"/>
        </w:rPr>
        <w:t>fick</w:t>
      </w:r>
      <w:r w:rsidRPr="5857D2E0">
        <w:rPr>
          <w:rFonts w:eastAsia="Calibri" w:cs="Calibri"/>
          <w:color w:val="000000" w:themeColor="text1"/>
          <w:sz w:val="24"/>
          <w:szCs w:val="24"/>
        </w:rPr>
        <w:t xml:space="preserve"> tydliga besked om vilka uppdrag </w:t>
      </w:r>
      <w:r w:rsidRPr="25632117">
        <w:rPr>
          <w:rFonts w:eastAsia="Calibri" w:cs="Calibri"/>
          <w:color w:val="000000" w:themeColor="text1"/>
          <w:sz w:val="24"/>
          <w:szCs w:val="24"/>
        </w:rPr>
        <w:t>som förväntas utföras</w:t>
      </w:r>
      <w:r w:rsidRPr="13CB8439">
        <w:rPr>
          <w:rFonts w:eastAsia="Calibri" w:cs="Calibri"/>
          <w:color w:val="000000" w:themeColor="text1"/>
          <w:sz w:val="24"/>
          <w:szCs w:val="24"/>
        </w:rPr>
        <w:t xml:space="preserve"> under 2024</w:t>
      </w:r>
      <w:r w:rsidRPr="3DA27751">
        <w:rPr>
          <w:rFonts w:eastAsia="Calibri" w:cs="Calibri"/>
          <w:color w:val="000000" w:themeColor="text1"/>
          <w:sz w:val="24"/>
          <w:szCs w:val="24"/>
        </w:rPr>
        <w:t>.</w:t>
      </w:r>
    </w:p>
    <w:p w14:paraId="5EDA45E7" w14:textId="77777777" w:rsidR="008C2E41" w:rsidRDefault="008C2E41" w:rsidP="008C2E41">
      <w:pPr>
        <w:pStyle w:val="GSNormal"/>
        <w:rPr>
          <w:rStyle w:val="normaltextrun"/>
          <w:rFonts w:cstheme="minorBidi"/>
          <w:b/>
          <w:bCs/>
        </w:rPr>
      </w:pPr>
    </w:p>
    <w:p w14:paraId="446CFC7E" w14:textId="2F873DD8" w:rsidR="008C2E41" w:rsidRPr="005F4A2A" w:rsidRDefault="008C2E41" w:rsidP="008C2E41">
      <w:pPr>
        <w:pStyle w:val="GSNormal"/>
        <w:rPr>
          <w:rStyle w:val="normaltextrun"/>
          <w:rFonts w:cstheme="minorBidi"/>
          <w:color w:val="000000" w:themeColor="text1"/>
          <w:sz w:val="24"/>
        </w:rPr>
      </w:pPr>
      <w:r w:rsidRPr="005F4A2A">
        <w:rPr>
          <w:rStyle w:val="normaltextrun"/>
          <w:rFonts w:cstheme="minorBidi"/>
          <w:b/>
          <w:bCs/>
          <w:sz w:val="24"/>
        </w:rPr>
        <w:t>Rörelsens kostnader</w:t>
      </w:r>
      <w:r w:rsidRPr="005F4A2A">
        <w:rPr>
          <w:rStyle w:val="normaltextrun"/>
          <w:rFonts w:cstheme="minorBidi"/>
          <w:sz w:val="24"/>
        </w:rPr>
        <w:t xml:space="preserve"> </w:t>
      </w:r>
      <w:r w:rsidRPr="005F4A2A">
        <w:rPr>
          <w:rFonts w:ascii="Calibri" w:eastAsia="Calibri" w:hAnsi="Calibri" w:cs="Calibri"/>
          <w:color w:val="000000" w:themeColor="text1"/>
          <w:sz w:val="24"/>
          <w:lang w:eastAsia="sv-SE"/>
        </w:rPr>
        <w:t>avviker totalt med 0,4 mnk</w:t>
      </w:r>
      <w:r w:rsidRPr="005F4A2A">
        <w:rPr>
          <w:rFonts w:ascii="Calibri" w:eastAsia="Calibri" w:hAnsi="Calibri" w:cs="Calibri"/>
          <w:sz w:val="24"/>
          <w:lang w:eastAsia="sv-SE"/>
        </w:rPr>
        <w:t>r i lägre kostnader, vilket i huvudsak förklaras av:</w:t>
      </w:r>
    </w:p>
    <w:p w14:paraId="53C4EAB5" w14:textId="77777777" w:rsidR="008C2E41" w:rsidRDefault="008C2E41" w:rsidP="00A87A8C">
      <w:pPr>
        <w:spacing w:after="0"/>
        <w:rPr>
          <w:rFonts w:eastAsia="Calibri" w:cs="Calibri"/>
          <w:color w:val="000000" w:themeColor="text1"/>
          <w:sz w:val="24"/>
          <w:szCs w:val="24"/>
        </w:rPr>
      </w:pPr>
    </w:p>
    <w:p w14:paraId="48D64C35" w14:textId="3FA21A76" w:rsidR="00A87A8C" w:rsidRDefault="008C2E41" w:rsidP="00A87A8C">
      <w:pPr>
        <w:pStyle w:val="Liststycke"/>
        <w:numPr>
          <w:ilvl w:val="0"/>
          <w:numId w:val="5"/>
        </w:num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005F4A2A">
        <w:rPr>
          <w:rFonts w:eastAsia="Calibri" w:cs="Calibri"/>
          <w:bCs/>
          <w:color w:val="000000" w:themeColor="text1"/>
          <w:sz w:val="24"/>
          <w:szCs w:val="24"/>
        </w:rPr>
        <w:t>M</w:t>
      </w:r>
      <w:r w:rsidR="00A87A8C" w:rsidRPr="005F4A2A">
        <w:rPr>
          <w:rFonts w:eastAsia="Calibri" w:cs="Calibri"/>
          <w:bCs/>
          <w:color w:val="000000" w:themeColor="text1"/>
          <w:sz w:val="24"/>
          <w:szCs w:val="24"/>
        </w:rPr>
        <w:t>aterial och köpta tjänster</w:t>
      </w:r>
      <w:r w:rsidR="00A87A8C" w:rsidRPr="005F4A2A">
        <w:rPr>
          <w:rFonts w:eastAsia="Calibri" w:cs="Calibri"/>
          <w:b/>
          <w:color w:val="000000" w:themeColor="text1"/>
          <w:sz w:val="24"/>
          <w:szCs w:val="24"/>
        </w:rPr>
        <w:t xml:space="preserve"> </w:t>
      </w:r>
      <w:r w:rsidR="00A87A8C" w:rsidRPr="005F4A2A">
        <w:rPr>
          <w:rFonts w:eastAsia="Calibri" w:cs="Calibri"/>
          <w:color w:val="000000" w:themeColor="text1"/>
          <w:sz w:val="24"/>
          <w:szCs w:val="24"/>
        </w:rPr>
        <w:t>avviker positivt mot budget om 1,</w:t>
      </w:r>
      <w:r w:rsidRPr="005F4A2A">
        <w:rPr>
          <w:rFonts w:eastAsia="Calibri" w:cs="Calibri"/>
          <w:color w:val="000000" w:themeColor="text1"/>
          <w:sz w:val="24"/>
          <w:szCs w:val="24"/>
        </w:rPr>
        <w:t>1</w:t>
      </w:r>
      <w:r w:rsidR="00A87A8C" w:rsidRPr="005F4A2A">
        <w:rPr>
          <w:rFonts w:eastAsia="Calibri" w:cs="Calibri"/>
          <w:color w:val="000000" w:themeColor="text1"/>
          <w:sz w:val="24"/>
          <w:szCs w:val="24"/>
        </w:rPr>
        <w:t xml:space="preserve"> mnkr på grund av periodiseringar. Notera att budgeterad kostnad är hänförlig till uppskattade uppdrag</w:t>
      </w:r>
      <w:r w:rsidR="005F4A2A">
        <w:rPr>
          <w:rFonts w:eastAsia="Calibri" w:cs="Calibri"/>
          <w:color w:val="000000" w:themeColor="text1"/>
          <w:sz w:val="24"/>
          <w:szCs w:val="24"/>
        </w:rPr>
        <w:t>.</w:t>
      </w:r>
    </w:p>
    <w:p w14:paraId="33681084" w14:textId="77777777" w:rsidR="005F4A2A" w:rsidRDefault="005F4A2A" w:rsidP="005F4A2A">
      <w:pPr>
        <w:pStyle w:val="Liststycke"/>
        <w:spacing w:after="0"/>
        <w:rPr>
          <w:rFonts w:eastAsia="Calibri" w:cs="Calibri"/>
          <w:color w:val="000000" w:themeColor="text1"/>
          <w:sz w:val="24"/>
          <w:szCs w:val="24"/>
        </w:rPr>
      </w:pPr>
    </w:p>
    <w:p w14:paraId="603676D4" w14:textId="536BF958" w:rsidR="00A87A8C" w:rsidRPr="005F4A2A" w:rsidRDefault="00A87A8C" w:rsidP="00A87A8C">
      <w:pPr>
        <w:pStyle w:val="Liststycke"/>
        <w:numPr>
          <w:ilvl w:val="0"/>
          <w:numId w:val="5"/>
        </w:num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005F4A2A">
        <w:rPr>
          <w:rFonts w:eastAsia="Calibri" w:cs="Calibri"/>
          <w:color w:val="000000" w:themeColor="text1"/>
          <w:sz w:val="24"/>
          <w:szCs w:val="24"/>
        </w:rPr>
        <w:t xml:space="preserve">Övriga externa kostnader </w:t>
      </w:r>
      <w:r w:rsidR="00D63A9F" w:rsidRPr="005F4A2A">
        <w:rPr>
          <w:rFonts w:eastAsia="Calibri" w:cs="Calibri"/>
          <w:color w:val="000000" w:themeColor="text1"/>
          <w:sz w:val="24"/>
          <w:szCs w:val="24"/>
        </w:rPr>
        <w:t xml:space="preserve">avviker positivt mot </w:t>
      </w:r>
      <w:r w:rsidRPr="005F4A2A">
        <w:rPr>
          <w:rFonts w:eastAsia="Calibri" w:cs="Calibri"/>
          <w:color w:val="000000" w:themeColor="text1"/>
          <w:sz w:val="24"/>
          <w:szCs w:val="24"/>
        </w:rPr>
        <w:t>budget om 0,</w:t>
      </w:r>
      <w:r w:rsidR="008C2E41" w:rsidRPr="005F4A2A">
        <w:rPr>
          <w:rFonts w:eastAsia="Calibri" w:cs="Calibri"/>
          <w:color w:val="000000" w:themeColor="text1"/>
          <w:sz w:val="24"/>
          <w:szCs w:val="24"/>
        </w:rPr>
        <w:t>4</w:t>
      </w:r>
      <w:r w:rsidRPr="005F4A2A">
        <w:rPr>
          <w:rFonts w:eastAsia="Calibri" w:cs="Calibri"/>
          <w:color w:val="000000" w:themeColor="text1"/>
          <w:sz w:val="24"/>
          <w:szCs w:val="24"/>
        </w:rPr>
        <w:t xml:space="preserve"> mnkr vilket i huvudsak beror på </w:t>
      </w:r>
      <w:r w:rsidR="005F4A2A">
        <w:rPr>
          <w:rFonts w:eastAsia="Calibri" w:cs="Calibri"/>
          <w:color w:val="000000" w:themeColor="text1"/>
          <w:sz w:val="24"/>
          <w:szCs w:val="24"/>
        </w:rPr>
        <w:t xml:space="preserve">lägre </w:t>
      </w:r>
      <w:r w:rsidRPr="005F4A2A">
        <w:rPr>
          <w:rFonts w:eastAsia="Calibri" w:cs="Calibri"/>
          <w:color w:val="000000" w:themeColor="text1"/>
          <w:sz w:val="24"/>
          <w:szCs w:val="24"/>
        </w:rPr>
        <w:t>overheadkostnader</w:t>
      </w:r>
      <w:r w:rsidR="005F4A2A">
        <w:rPr>
          <w:rFonts w:eastAsia="Calibri" w:cs="Calibri"/>
          <w:color w:val="000000" w:themeColor="text1"/>
          <w:sz w:val="24"/>
          <w:szCs w:val="24"/>
        </w:rPr>
        <w:t>. Det beror sannolikt</w:t>
      </w:r>
      <w:r w:rsidRPr="005F4A2A">
        <w:rPr>
          <w:rFonts w:eastAsia="Calibri" w:cs="Calibri"/>
          <w:color w:val="000000" w:themeColor="text1"/>
          <w:sz w:val="24"/>
          <w:szCs w:val="24"/>
        </w:rPr>
        <w:t xml:space="preserve"> på </w:t>
      </w:r>
      <w:r w:rsidR="005F4A2A">
        <w:rPr>
          <w:rFonts w:eastAsia="Calibri" w:cs="Calibri"/>
          <w:color w:val="000000" w:themeColor="text1"/>
          <w:sz w:val="24"/>
          <w:szCs w:val="24"/>
        </w:rPr>
        <w:t>problem med</w:t>
      </w:r>
      <w:r w:rsidRPr="005F4A2A">
        <w:rPr>
          <w:rFonts w:eastAsia="Calibri" w:cs="Calibri"/>
          <w:color w:val="000000" w:themeColor="text1"/>
          <w:sz w:val="24"/>
          <w:szCs w:val="24"/>
        </w:rPr>
        <w:t xml:space="preserve"> triggerkörningen</w:t>
      </w:r>
      <w:r w:rsidR="005F4A2A">
        <w:rPr>
          <w:rFonts w:eastAsia="Calibri" w:cs="Calibri"/>
          <w:color w:val="000000" w:themeColor="text1"/>
          <w:sz w:val="24"/>
          <w:szCs w:val="24"/>
        </w:rPr>
        <w:t>.</w:t>
      </w:r>
      <w:r w:rsidRPr="005F4A2A">
        <w:rPr>
          <w:rFonts w:eastAsia="Calibri" w:cs="Calibri"/>
          <w:color w:val="000000" w:themeColor="text1"/>
          <w:sz w:val="24"/>
          <w:szCs w:val="24"/>
        </w:rPr>
        <w:t xml:space="preserve"> </w:t>
      </w:r>
    </w:p>
    <w:p w14:paraId="24797A3C" w14:textId="77777777" w:rsidR="00A87A8C" w:rsidRDefault="00A87A8C" w:rsidP="00A87A8C">
      <w:pPr>
        <w:spacing w:after="0"/>
        <w:rPr>
          <w:rFonts w:eastAsia="Calibri" w:cs="Calibri"/>
          <w:color w:val="000000" w:themeColor="text1"/>
          <w:sz w:val="24"/>
          <w:szCs w:val="24"/>
        </w:rPr>
      </w:pPr>
    </w:p>
    <w:p w14:paraId="635313C1" w14:textId="0D9D7EB3" w:rsidR="00A87A8C" w:rsidRPr="008C2E41" w:rsidRDefault="00A87A8C" w:rsidP="008C2E41">
      <w:pPr>
        <w:pStyle w:val="Liststycke"/>
        <w:numPr>
          <w:ilvl w:val="0"/>
          <w:numId w:val="4"/>
        </w:num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008C2E41">
        <w:rPr>
          <w:rFonts w:eastAsia="Calibri" w:cs="Calibri"/>
          <w:color w:val="000000" w:themeColor="text1"/>
          <w:sz w:val="24"/>
          <w:szCs w:val="24"/>
        </w:rPr>
        <w:lastRenderedPageBreak/>
        <w:t>Personalkostnaderna</w:t>
      </w:r>
      <w:r w:rsidRPr="008C2E41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="00AF0740" w:rsidRPr="008C2E41">
        <w:rPr>
          <w:rFonts w:eastAsia="Calibri" w:cs="Calibri"/>
          <w:color w:val="000000" w:themeColor="text1"/>
          <w:sz w:val="24"/>
          <w:szCs w:val="24"/>
        </w:rPr>
        <w:t xml:space="preserve">avviker </w:t>
      </w:r>
      <w:r w:rsidRPr="008C2E41">
        <w:rPr>
          <w:rFonts w:eastAsia="Calibri" w:cs="Calibri"/>
          <w:color w:val="000000" w:themeColor="text1"/>
          <w:sz w:val="24"/>
          <w:szCs w:val="24"/>
        </w:rPr>
        <w:t xml:space="preserve">negativt mot budget </w:t>
      </w:r>
      <w:r w:rsidR="006D3230" w:rsidRPr="008C2E41">
        <w:rPr>
          <w:rFonts w:eastAsia="Calibri" w:cs="Calibri"/>
          <w:color w:val="000000" w:themeColor="text1"/>
          <w:sz w:val="24"/>
          <w:szCs w:val="24"/>
        </w:rPr>
        <w:t>om 1</w:t>
      </w:r>
      <w:r w:rsidR="008C2E41">
        <w:rPr>
          <w:rFonts w:eastAsia="Calibri" w:cs="Calibri"/>
          <w:color w:val="000000" w:themeColor="text1"/>
          <w:sz w:val="24"/>
          <w:szCs w:val="24"/>
        </w:rPr>
        <w:t xml:space="preserve">,1 </w:t>
      </w:r>
      <w:r w:rsidR="006D3230" w:rsidRPr="008C2E41">
        <w:rPr>
          <w:rFonts w:eastAsia="Calibri" w:cs="Calibri"/>
          <w:color w:val="000000" w:themeColor="text1"/>
          <w:sz w:val="24"/>
          <w:szCs w:val="24"/>
        </w:rPr>
        <w:t xml:space="preserve">mnkr </w:t>
      </w:r>
      <w:r w:rsidRPr="008C2E41">
        <w:rPr>
          <w:rFonts w:eastAsia="Calibri" w:cs="Calibri"/>
          <w:color w:val="000000" w:themeColor="text1"/>
          <w:sz w:val="24"/>
          <w:szCs w:val="24"/>
        </w:rPr>
        <w:t xml:space="preserve">vilket i huvudsak beror på att personalen inte registrerar tid i EAM i rätt period. </w:t>
      </w:r>
    </w:p>
    <w:p w14:paraId="0529C9A7" w14:textId="77777777" w:rsidR="00A87A8C" w:rsidRDefault="00A87A8C" w:rsidP="00A87A8C">
      <w:pPr>
        <w:spacing w:after="0"/>
        <w:rPr>
          <w:rFonts w:eastAsia="Calibri" w:cs="Calibri"/>
          <w:color w:val="000000" w:themeColor="text1"/>
          <w:sz w:val="24"/>
          <w:szCs w:val="24"/>
        </w:rPr>
      </w:pPr>
    </w:p>
    <w:p w14:paraId="2F29CCC8" w14:textId="77777777" w:rsidR="00A87A8C" w:rsidRDefault="00A87A8C" w:rsidP="00A87A8C">
      <w:pPr>
        <w:spacing w:after="0"/>
        <w:rPr>
          <w:rFonts w:eastAsia="Calibri" w:cs="Calibri"/>
          <w:b/>
          <w:color w:val="000000" w:themeColor="text1"/>
          <w:sz w:val="24"/>
          <w:szCs w:val="24"/>
        </w:rPr>
      </w:pPr>
      <w:r w:rsidRPr="1675DD1E">
        <w:rPr>
          <w:rFonts w:eastAsia="Calibri" w:cs="Calibri"/>
          <w:b/>
          <w:bCs/>
          <w:color w:val="000000" w:themeColor="text1"/>
          <w:sz w:val="24"/>
          <w:szCs w:val="24"/>
        </w:rPr>
        <w:t>Prognos 2024</w:t>
      </w:r>
    </w:p>
    <w:p w14:paraId="71A1E893" w14:textId="1A3DA46D" w:rsidR="00A87A8C" w:rsidRDefault="00A87A8C" w:rsidP="00A87A8C">
      <w:p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69F13721">
        <w:rPr>
          <w:rFonts w:eastAsia="Calibri" w:cs="Calibri"/>
          <w:color w:val="000000" w:themeColor="text1"/>
          <w:sz w:val="24"/>
          <w:szCs w:val="24"/>
        </w:rPr>
        <w:t>Prognosen för helåret 2024 är justerad med anledning av att betalplanen var för lågt budgeterad</w:t>
      </w:r>
      <w:r w:rsidRPr="6C4B7AC6">
        <w:rPr>
          <w:rFonts w:eastAsia="Calibri" w:cs="Calibri"/>
          <w:color w:val="000000" w:themeColor="text1"/>
          <w:sz w:val="24"/>
          <w:szCs w:val="24"/>
        </w:rPr>
        <w:t xml:space="preserve"> utifrån vad som faktiskt </w:t>
      </w:r>
      <w:r w:rsidRPr="5F9400F3">
        <w:rPr>
          <w:rFonts w:eastAsia="Calibri" w:cs="Calibri"/>
          <w:color w:val="000000" w:themeColor="text1"/>
          <w:sz w:val="24"/>
          <w:szCs w:val="24"/>
        </w:rPr>
        <w:t>beslutades den 1 december.</w:t>
      </w:r>
      <w:r w:rsidRPr="5BF1BC74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8C2E41">
        <w:rPr>
          <w:rFonts w:eastAsia="Calibri" w:cs="Calibri"/>
          <w:color w:val="000000" w:themeColor="text1"/>
          <w:sz w:val="24"/>
          <w:szCs w:val="24"/>
        </w:rPr>
        <w:t>S</w:t>
      </w:r>
      <w:r w:rsidRPr="5D98703B">
        <w:rPr>
          <w:rFonts w:eastAsia="Calibri" w:cs="Calibri"/>
          <w:color w:val="000000" w:themeColor="text1"/>
          <w:sz w:val="24"/>
          <w:szCs w:val="24"/>
        </w:rPr>
        <w:t>killnaden</w:t>
      </w:r>
      <w:r w:rsidRPr="079D8FC6">
        <w:rPr>
          <w:rFonts w:eastAsia="Calibri" w:cs="Calibri"/>
          <w:color w:val="000000" w:themeColor="text1"/>
          <w:sz w:val="24"/>
          <w:szCs w:val="24"/>
        </w:rPr>
        <w:t xml:space="preserve"> mot budget 2024 är </w:t>
      </w:r>
      <w:r w:rsidRPr="0AD49910">
        <w:rPr>
          <w:rFonts w:eastAsia="Calibri" w:cs="Calibri"/>
          <w:color w:val="000000" w:themeColor="text1"/>
          <w:sz w:val="24"/>
          <w:szCs w:val="24"/>
        </w:rPr>
        <w:t xml:space="preserve">att betalplanen justerats </w:t>
      </w:r>
      <w:r w:rsidRPr="2707729F">
        <w:rPr>
          <w:rFonts w:eastAsia="Calibri" w:cs="Calibri"/>
          <w:color w:val="000000" w:themeColor="text1"/>
          <w:sz w:val="24"/>
          <w:szCs w:val="24"/>
        </w:rPr>
        <w:t xml:space="preserve">upp till motsvarande </w:t>
      </w:r>
      <w:r w:rsidRPr="635558EB">
        <w:rPr>
          <w:rFonts w:eastAsia="Calibri" w:cs="Calibri"/>
          <w:color w:val="000000" w:themeColor="text1"/>
          <w:sz w:val="24"/>
          <w:szCs w:val="24"/>
        </w:rPr>
        <w:t>82,2 mnkr</w:t>
      </w:r>
      <w:r w:rsidR="008C2E41">
        <w:rPr>
          <w:rFonts w:eastAsia="Calibri" w:cs="Calibri"/>
          <w:color w:val="000000" w:themeColor="text1"/>
          <w:sz w:val="24"/>
          <w:szCs w:val="24"/>
        </w:rPr>
        <w:t>.</w:t>
      </w:r>
    </w:p>
    <w:p w14:paraId="6B643A06" w14:textId="77777777" w:rsidR="00A87A8C" w:rsidRDefault="00A87A8C" w:rsidP="00A87A8C">
      <w:pPr>
        <w:spacing w:after="0"/>
        <w:rPr>
          <w:rFonts w:eastAsia="Calibri" w:cs="Calibri"/>
          <w:color w:val="000000" w:themeColor="text1"/>
          <w:sz w:val="24"/>
          <w:szCs w:val="24"/>
        </w:rPr>
      </w:pPr>
    </w:p>
    <w:p w14:paraId="7F12E44C" w14:textId="77777777" w:rsidR="00A87A8C" w:rsidRDefault="00A87A8C" w:rsidP="00A87A8C">
      <w:pPr>
        <w:spacing w:after="0"/>
        <w:rPr>
          <w:rFonts w:eastAsia="Calibri" w:cs="Calibri"/>
          <w:b/>
          <w:color w:val="000000" w:themeColor="text1"/>
          <w:sz w:val="24"/>
          <w:szCs w:val="24"/>
        </w:rPr>
      </w:pPr>
      <w:r w:rsidRPr="6DEDD315">
        <w:rPr>
          <w:rFonts w:eastAsia="Calibri" w:cs="Calibri"/>
          <w:b/>
          <w:color w:val="000000" w:themeColor="text1"/>
          <w:sz w:val="24"/>
          <w:szCs w:val="24"/>
        </w:rPr>
        <w:t>Åtgärder</w:t>
      </w:r>
    </w:p>
    <w:p w14:paraId="4DCB9376" w14:textId="77777777" w:rsidR="008C2E41" w:rsidRPr="008C2E41" w:rsidRDefault="00A87A8C" w:rsidP="008C2E41">
      <w:pPr>
        <w:pStyle w:val="Liststycke"/>
        <w:numPr>
          <w:ilvl w:val="0"/>
          <w:numId w:val="3"/>
        </w:numPr>
        <w:spacing w:after="0"/>
        <w:rPr>
          <w:rFonts w:eastAsia="Calibri" w:cs="Calibri"/>
          <w:color w:val="000000" w:themeColor="text1"/>
          <w:sz w:val="24"/>
          <w:szCs w:val="24"/>
        </w:rPr>
      </w:pPr>
      <w:r w:rsidRPr="008C2E41">
        <w:rPr>
          <w:rFonts w:eastAsia="Calibri" w:cs="Calibri"/>
          <w:color w:val="000000" w:themeColor="text1"/>
          <w:sz w:val="24"/>
          <w:szCs w:val="24"/>
        </w:rPr>
        <w:t xml:space="preserve">Verksamheten kommer analysera </w:t>
      </w:r>
      <w:r w:rsidR="008C2E41" w:rsidRPr="008C2E41">
        <w:rPr>
          <w:rFonts w:eastAsia="Calibri" w:cs="Calibri"/>
          <w:color w:val="000000" w:themeColor="text1"/>
          <w:sz w:val="24"/>
          <w:szCs w:val="24"/>
        </w:rPr>
        <w:t xml:space="preserve">huruvida resultatet är ett periodiseringsfel eller bestående underskott för året.  </w:t>
      </w:r>
    </w:p>
    <w:p w14:paraId="0E41C499" w14:textId="77777777" w:rsidR="008C2E41" w:rsidRDefault="008C2E41" w:rsidP="008C2E41">
      <w:pPr>
        <w:pStyle w:val="Liststycke"/>
        <w:numPr>
          <w:ilvl w:val="0"/>
          <w:numId w:val="3"/>
        </w:numPr>
        <w:spacing w:after="0"/>
        <w:rPr>
          <w:rFonts w:eastAsia="Calibri" w:cs="Calibri"/>
          <w:color w:val="000000" w:themeColor="text1"/>
          <w:sz w:val="24"/>
          <w:szCs w:val="24"/>
        </w:rPr>
      </w:pPr>
      <w:r>
        <w:rPr>
          <w:rFonts w:eastAsia="Calibri" w:cs="Calibri"/>
          <w:color w:val="000000" w:themeColor="text1"/>
          <w:sz w:val="24"/>
          <w:szCs w:val="24"/>
        </w:rPr>
        <w:t>Gällande</w:t>
      </w:r>
      <w:r w:rsidR="00A87A8C" w:rsidRPr="008C2E41">
        <w:rPr>
          <w:rFonts w:eastAsia="Calibri" w:cs="Calibri"/>
          <w:color w:val="000000" w:themeColor="text1"/>
          <w:sz w:val="24"/>
          <w:szCs w:val="24"/>
        </w:rPr>
        <w:t xml:space="preserve"> ej registrerad tid måste verksamheten </w:t>
      </w:r>
      <w:r>
        <w:rPr>
          <w:rFonts w:eastAsia="Calibri" w:cs="Calibri"/>
          <w:color w:val="000000" w:themeColor="text1"/>
          <w:sz w:val="24"/>
          <w:szCs w:val="24"/>
        </w:rPr>
        <w:t xml:space="preserve">efter </w:t>
      </w:r>
      <w:r w:rsidR="00A87A8C" w:rsidRPr="008C2E41">
        <w:rPr>
          <w:rFonts w:eastAsia="Calibri" w:cs="Calibri"/>
          <w:color w:val="000000" w:themeColor="text1"/>
          <w:sz w:val="24"/>
          <w:szCs w:val="24"/>
        </w:rPr>
        <w:t xml:space="preserve">registrera </w:t>
      </w:r>
      <w:r>
        <w:rPr>
          <w:rFonts w:eastAsia="Calibri" w:cs="Calibri"/>
          <w:color w:val="000000" w:themeColor="text1"/>
          <w:sz w:val="24"/>
          <w:szCs w:val="24"/>
        </w:rPr>
        <w:t xml:space="preserve">vilket </w:t>
      </w:r>
      <w:r w:rsidR="00A87A8C" w:rsidRPr="008C2E41">
        <w:rPr>
          <w:rFonts w:eastAsia="Calibri" w:cs="Calibri"/>
          <w:color w:val="000000" w:themeColor="text1"/>
          <w:sz w:val="24"/>
          <w:szCs w:val="24"/>
        </w:rPr>
        <w:t xml:space="preserve">påförs nästa kundfakturering. </w:t>
      </w:r>
    </w:p>
    <w:p w14:paraId="3CE14AC0" w14:textId="08571AE7" w:rsidR="008C2E41" w:rsidRDefault="008C2E41" w:rsidP="008C2E41">
      <w:pPr>
        <w:pStyle w:val="Liststycke"/>
        <w:numPr>
          <w:ilvl w:val="0"/>
          <w:numId w:val="3"/>
        </w:numPr>
        <w:spacing w:after="0"/>
        <w:rPr>
          <w:rFonts w:eastAsia="Calibri" w:cs="Calibri"/>
          <w:color w:val="000000" w:themeColor="text1"/>
          <w:sz w:val="24"/>
          <w:szCs w:val="24"/>
        </w:rPr>
      </w:pPr>
      <w:r>
        <w:rPr>
          <w:rFonts w:eastAsia="Calibri" w:cs="Calibri"/>
          <w:color w:val="000000" w:themeColor="text1"/>
          <w:sz w:val="24"/>
          <w:szCs w:val="24"/>
        </w:rPr>
        <w:t xml:space="preserve">Utreda </w:t>
      </w:r>
      <w:r w:rsidRPr="008C2E41">
        <w:rPr>
          <w:rFonts w:eastAsia="Calibri" w:cs="Calibri"/>
          <w:color w:val="000000" w:themeColor="text1"/>
          <w:sz w:val="24"/>
          <w:szCs w:val="24"/>
        </w:rPr>
        <w:t>varför triggrarna inte fungerat som tänkt</w:t>
      </w:r>
      <w:r>
        <w:rPr>
          <w:rFonts w:eastAsia="Calibri" w:cs="Calibri"/>
          <w:color w:val="000000" w:themeColor="text1"/>
          <w:sz w:val="24"/>
          <w:szCs w:val="24"/>
        </w:rPr>
        <w:t xml:space="preserve"> tillsammans med </w:t>
      </w:r>
      <w:r w:rsidR="00A87A8C" w:rsidRPr="008C2E41">
        <w:rPr>
          <w:rFonts w:eastAsia="Calibri" w:cs="Calibri"/>
          <w:color w:val="000000" w:themeColor="text1"/>
          <w:sz w:val="24"/>
          <w:szCs w:val="24"/>
        </w:rPr>
        <w:t>Intraservice</w:t>
      </w:r>
      <w:r>
        <w:rPr>
          <w:rFonts w:eastAsia="Calibri" w:cs="Calibri"/>
          <w:color w:val="000000" w:themeColor="text1"/>
          <w:sz w:val="24"/>
          <w:szCs w:val="24"/>
        </w:rPr>
        <w:t>.</w:t>
      </w:r>
      <w:r w:rsidR="00A87A8C" w:rsidRPr="008C2E41">
        <w:rPr>
          <w:rFonts w:eastAsia="Calibri" w:cs="Calibri"/>
          <w:color w:val="000000" w:themeColor="text1"/>
          <w:sz w:val="24"/>
          <w:szCs w:val="24"/>
        </w:rPr>
        <w:t xml:space="preserve"> </w:t>
      </w:r>
    </w:p>
    <w:p w14:paraId="12CD3C03" w14:textId="59B97F69" w:rsidR="00A87A8C" w:rsidRPr="008C2E41" w:rsidRDefault="008C2E41" w:rsidP="008C2E41">
      <w:pPr>
        <w:pStyle w:val="Liststycke"/>
        <w:numPr>
          <w:ilvl w:val="0"/>
          <w:numId w:val="3"/>
        </w:numPr>
        <w:spacing w:after="0"/>
        <w:rPr>
          <w:rFonts w:eastAsia="Calibri" w:cs="Calibri"/>
          <w:color w:val="000000" w:themeColor="text1"/>
          <w:sz w:val="24"/>
          <w:szCs w:val="24"/>
        </w:rPr>
      </w:pPr>
      <w:r>
        <w:rPr>
          <w:rFonts w:eastAsia="Calibri" w:cs="Calibri"/>
          <w:color w:val="000000" w:themeColor="text1"/>
          <w:sz w:val="24"/>
          <w:szCs w:val="24"/>
        </w:rPr>
        <w:t>B</w:t>
      </w:r>
      <w:r w:rsidR="00A87A8C" w:rsidRPr="008C2E41">
        <w:rPr>
          <w:rFonts w:eastAsia="Calibri" w:cs="Calibri"/>
          <w:color w:val="000000" w:themeColor="text1"/>
          <w:sz w:val="24"/>
          <w:szCs w:val="24"/>
        </w:rPr>
        <w:t>udgetprocessen</w:t>
      </w:r>
      <w:r>
        <w:rPr>
          <w:rFonts w:eastAsia="Calibri" w:cs="Calibri"/>
          <w:color w:val="000000" w:themeColor="text1"/>
          <w:sz w:val="24"/>
          <w:szCs w:val="24"/>
        </w:rPr>
        <w:t xml:space="preserve"> behöver</w:t>
      </w:r>
      <w:r w:rsidR="00A87A8C" w:rsidRPr="008C2E41">
        <w:rPr>
          <w:rFonts w:eastAsia="Calibri" w:cs="Calibri"/>
          <w:color w:val="000000" w:themeColor="text1"/>
          <w:sz w:val="24"/>
          <w:szCs w:val="24"/>
        </w:rPr>
        <w:t xml:space="preserve"> takta ihop med Göteborgs stads underhållsplan (dvs. vilka uppdrag som verksamheten förväntas erhålla under kommande år).</w:t>
      </w:r>
    </w:p>
    <w:p w14:paraId="6683F111" w14:textId="77777777" w:rsidR="00A87A8C" w:rsidRDefault="00A87A8C" w:rsidP="00A87A8C">
      <w:pPr>
        <w:spacing w:after="120"/>
        <w:rPr>
          <w:rFonts w:eastAsia="Calibri" w:cs="Calibri"/>
          <w:color w:val="000000" w:themeColor="text1"/>
        </w:rPr>
      </w:pPr>
    </w:p>
    <w:p w14:paraId="5A200B0B" w14:textId="77777777" w:rsidR="00A87A8C" w:rsidRDefault="00A87A8C" w:rsidP="00A87A8C">
      <w:pPr>
        <w:pStyle w:val="paragraph"/>
        <w:spacing w:before="0" w:beforeAutospacing="0" w:after="0" w:afterAutospacing="0"/>
        <w:ind w:right="-86"/>
        <w:rPr>
          <w:rFonts w:asciiTheme="minorHAnsi" w:eastAsia="Cambria" w:hAnsiTheme="minorHAnsi"/>
          <w:b/>
          <w:bCs/>
          <w:lang w:eastAsia="en-US"/>
        </w:rPr>
      </w:pPr>
    </w:p>
    <w:p w14:paraId="4E3E931B" w14:textId="77777777" w:rsidR="00A87A8C" w:rsidRDefault="00A87A8C">
      <w:pPr>
        <w:spacing w:after="160" w:line="259" w:lineRule="auto"/>
        <w:rPr>
          <w:rFonts w:asciiTheme="minorHAnsi" w:eastAsia="Cambria" w:hAnsiTheme="minorHAnsi"/>
          <w:b/>
          <w:bCs/>
          <w:sz w:val="24"/>
          <w:szCs w:val="24"/>
          <w:lang w:eastAsia="en-US"/>
        </w:rPr>
      </w:pPr>
      <w:r>
        <w:rPr>
          <w:rFonts w:asciiTheme="minorHAnsi" w:eastAsia="Cambria" w:hAnsiTheme="minorHAnsi"/>
          <w:b/>
          <w:bCs/>
          <w:lang w:eastAsia="en-US"/>
        </w:rPr>
        <w:br w:type="page"/>
      </w:r>
    </w:p>
    <w:p w14:paraId="1A5491F2" w14:textId="0426595A" w:rsidR="00A87A8C" w:rsidRPr="00AA0EAE" w:rsidRDefault="00A87A8C" w:rsidP="00A87A8C">
      <w:pPr>
        <w:pStyle w:val="paragraph"/>
        <w:spacing w:before="0" w:beforeAutospacing="0" w:after="0" w:afterAutospacing="0"/>
        <w:ind w:right="-86"/>
        <w:textAlignment w:val="baseline"/>
        <w:rPr>
          <w:rFonts w:asciiTheme="minorHAnsi" w:eastAsia="Cambria" w:hAnsiTheme="minorHAnsi"/>
          <w:b/>
          <w:bCs/>
          <w:color w:val="000000" w:themeColor="text1"/>
          <w:lang w:eastAsia="en-US"/>
        </w:rPr>
      </w:pPr>
      <w:r w:rsidRPr="4144A15A">
        <w:rPr>
          <w:rFonts w:asciiTheme="minorHAnsi" w:eastAsia="Cambria" w:hAnsiTheme="minorHAnsi"/>
          <w:b/>
          <w:bCs/>
          <w:lang w:eastAsia="en-US"/>
        </w:rPr>
        <w:lastRenderedPageBreak/>
        <w:t>Kommentar Övriga avtal, projekt och uppdrag</w:t>
      </w:r>
    </w:p>
    <w:p w14:paraId="396FA870" w14:textId="77777777" w:rsidR="00A87A8C" w:rsidRDefault="00A87A8C" w:rsidP="00A87A8C">
      <w:pPr>
        <w:pStyle w:val="paragraph"/>
        <w:spacing w:before="0" w:beforeAutospacing="0" w:after="0" w:afterAutospacing="0"/>
        <w:ind w:right="-86"/>
        <w:rPr>
          <w:rFonts w:asciiTheme="minorHAnsi" w:eastAsia="Cambria" w:hAnsiTheme="minorHAnsi"/>
          <w:b/>
          <w:bCs/>
          <w:color w:val="FF0000"/>
          <w:lang w:eastAsia="en-US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997"/>
        <w:gridCol w:w="878"/>
        <w:gridCol w:w="892"/>
        <w:gridCol w:w="870"/>
        <w:gridCol w:w="990"/>
        <w:gridCol w:w="960"/>
        <w:gridCol w:w="843"/>
      </w:tblGrid>
      <w:tr w:rsidR="00A87A8C" w14:paraId="2654E045" w14:textId="77777777" w:rsidTr="009B7C64">
        <w:trPr>
          <w:trHeight w:val="6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</w:tcPr>
          <w:p w14:paraId="0B9D9B05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Resultaträkning (Mkr)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3850C97C" w14:textId="77777777" w:rsidR="00A87A8C" w:rsidRDefault="00A87A8C" w:rsidP="009B7C64">
            <w:pPr>
              <w:spacing w:after="0"/>
              <w:jc w:val="center"/>
              <w:rPr>
                <w:rFonts w:eastAsia="Calibri" w:cs="Calibri"/>
                <w:b/>
                <w:color w:val="FFFFFF" w:themeColor="background1"/>
                <w:sz w:val="18"/>
                <w:szCs w:val="18"/>
              </w:rPr>
            </w:pPr>
            <w:r w:rsidRPr="00399969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Utfall </w:t>
            </w:r>
            <w:r w:rsidRPr="7D9A5ED4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49F713D8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  </w:t>
            </w:r>
            <w:r w:rsidRPr="00399969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Jan 2024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0E4E7C82" w14:textId="77777777" w:rsidR="00A87A8C" w:rsidRDefault="00A87A8C" w:rsidP="009B7C64">
            <w:pPr>
              <w:spacing w:after="0"/>
              <w:jc w:val="center"/>
              <w:rPr>
                <w:rFonts w:eastAsia="Calibri" w:cs="Calibri"/>
                <w:b/>
                <w:color w:val="FFFFFF" w:themeColor="background1"/>
                <w:sz w:val="18"/>
                <w:szCs w:val="18"/>
              </w:rPr>
            </w:pPr>
            <w:r w:rsidRPr="00399969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Budget </w:t>
            </w:r>
            <w:r w:rsidRPr="4F2C9F5B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5EC361B8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399969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Jan 2024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740B2E43" w14:textId="77777777" w:rsidR="00A87A8C" w:rsidRDefault="00A87A8C" w:rsidP="009B7C64">
            <w:pPr>
              <w:spacing w:after="0"/>
              <w:jc w:val="right"/>
            </w:pPr>
            <w:r w:rsidRPr="00399969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Avvikelse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6BFAB287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Prognos helår 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0B9FDE5B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Budget helår 2024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tcMar>
              <w:top w:w="15" w:type="dxa"/>
              <w:left w:w="15" w:type="dxa"/>
              <w:right w:w="15" w:type="dxa"/>
            </w:tcMar>
            <w:vAlign w:val="center"/>
          </w:tcPr>
          <w:p w14:paraId="0F21FF89" w14:textId="77777777" w:rsidR="00A87A8C" w:rsidRDefault="00A87A8C" w:rsidP="009B7C64">
            <w:pPr>
              <w:spacing w:after="0"/>
              <w:jc w:val="right"/>
            </w:pPr>
            <w:r w:rsidRPr="00399969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Avvikelse</w:t>
            </w:r>
          </w:p>
        </w:tc>
      </w:tr>
      <w:tr w:rsidR="00A87A8C" w14:paraId="1BA2EE97" w14:textId="77777777" w:rsidTr="009B7C64">
        <w:trPr>
          <w:trHeight w:val="3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2C8512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Nettoomsättning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9BA63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8,3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0404E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FD019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F07CD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B3092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3167F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0,8</w:t>
            </w:r>
          </w:p>
        </w:tc>
      </w:tr>
      <w:tr w:rsidR="00A87A8C" w14:paraId="75BFFB5F" w14:textId="77777777" w:rsidTr="009B7C64">
        <w:trPr>
          <w:trHeight w:val="3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A7D246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Övriga rörelseintäkter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AA2D8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-2,3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60305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ECCC1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1DE5A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C2586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83ED9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2CE07A14" w14:textId="77777777" w:rsidTr="009B7C64">
        <w:trPr>
          <w:trHeight w:val="3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11B651E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Rörelsens intäkter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303289B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6,0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B39B40C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FBD265F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675E793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441BCCF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8F512D6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0,8</w:t>
            </w:r>
          </w:p>
        </w:tc>
      </w:tr>
      <w:tr w:rsidR="00A87A8C" w14:paraId="2C002AE0" w14:textId="77777777" w:rsidTr="009B7C64">
        <w:trPr>
          <w:trHeight w:val="3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B81F0B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Kostnader för varor, material och vissa köpta tjänster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BB14D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-0,5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DBBAD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5BA7C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FEA54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D9D11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-5,6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F5518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116B8D24" w14:textId="77777777" w:rsidTr="009B7C64">
        <w:trPr>
          <w:trHeight w:val="3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798CD9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Övriga externa kostnader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D2085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-3,3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5774B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E3E14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06A31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-43,1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6CD58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-42,7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05FE5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-0,4</w:t>
            </w:r>
          </w:p>
        </w:tc>
      </w:tr>
      <w:tr w:rsidR="00A87A8C" w14:paraId="6F13E635" w14:textId="77777777" w:rsidTr="009B7C64">
        <w:trPr>
          <w:trHeight w:val="3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12535A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Personalkostnader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48327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-1,0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858BD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-1,1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1483D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D367C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-15,3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00339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-14,9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862D3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-0,4</w:t>
            </w:r>
          </w:p>
        </w:tc>
      </w:tr>
      <w:tr w:rsidR="00A87A8C" w14:paraId="25B0F34E" w14:textId="77777777" w:rsidTr="009B7C64">
        <w:trPr>
          <w:trHeight w:val="3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7369E0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 xml:space="preserve">Av-/nedskrivning av </w:t>
            </w:r>
            <w:proofErr w:type="spellStart"/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-/materiella anläggningstillgångar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1A280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3C019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D5061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17626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E72A3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0A119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4BC06F8C" w14:textId="77777777" w:rsidTr="009B7C64">
        <w:trPr>
          <w:trHeight w:val="3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072CC28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Rörelsens kostnader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F0EE5B0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-4,8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98E4B89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2F47BE6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841D1B6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-64,0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01724F0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-63,2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2F0D24B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-0,8</w:t>
            </w:r>
          </w:p>
        </w:tc>
      </w:tr>
      <w:tr w:rsidR="00A87A8C" w14:paraId="2CA761FC" w14:textId="77777777" w:rsidTr="009B7C64">
        <w:trPr>
          <w:trHeight w:val="3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08421B5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Rörelseresultat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80DDA0B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672C82A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-0,1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C75C9E1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DCE6F50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3914135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67F4C86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2DD550D0" w14:textId="77777777" w:rsidTr="009B7C64">
        <w:trPr>
          <w:trHeight w:val="3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C66C7F4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Resultat efter finansiella poster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E11B973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9045A81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-0,1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710C5BB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97E599F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F40F590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A19761F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</w:tr>
      <w:tr w:rsidR="00A87A8C" w14:paraId="78B54DD6" w14:textId="77777777" w:rsidTr="009B7C64">
        <w:trPr>
          <w:trHeight w:val="30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B8A1553" w14:textId="77777777" w:rsidR="00A87A8C" w:rsidRDefault="00A87A8C" w:rsidP="009B7C64">
            <w:pPr>
              <w:spacing w:after="0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- Årets resultat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B610239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39EFBEE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-0,1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533AE48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AB1CB4F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1D176A8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BC1E685" w14:textId="77777777" w:rsidR="00A87A8C" w:rsidRDefault="00A87A8C" w:rsidP="009B7C64">
            <w:pPr>
              <w:spacing w:after="0"/>
              <w:jc w:val="center"/>
            </w:pPr>
            <w:r w:rsidRPr="00399969"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0,0</w:t>
            </w:r>
          </w:p>
        </w:tc>
      </w:tr>
    </w:tbl>
    <w:p w14:paraId="5E77FC8F" w14:textId="77777777" w:rsidR="00A87A8C" w:rsidRDefault="00A87A8C" w:rsidP="00A87A8C">
      <w:pPr>
        <w:pStyle w:val="paragraph"/>
        <w:spacing w:before="0" w:beforeAutospacing="0" w:after="0" w:afterAutospacing="0"/>
        <w:ind w:right="-86"/>
        <w:rPr>
          <w:color w:val="FF0000"/>
        </w:rPr>
      </w:pPr>
    </w:p>
    <w:p w14:paraId="3C20D07E" w14:textId="77777777" w:rsidR="00A87A8C" w:rsidRPr="00AA0EAE" w:rsidRDefault="00A87A8C" w:rsidP="00A87A8C">
      <w:pPr>
        <w:pStyle w:val="paragraph"/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color w:val="000000" w:themeColor="text1"/>
        </w:rPr>
      </w:pPr>
    </w:p>
    <w:p w14:paraId="51EB43BF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C435B9">
        <w:rPr>
          <w:rFonts w:asciiTheme="minorHAnsi" w:hAnsiTheme="minorHAnsi" w:cstheme="minorBidi"/>
          <w:sz w:val="22"/>
          <w:szCs w:val="22"/>
        </w:rPr>
        <w:t>Inom ramen för övriga avtal, projekt och uppdrag finns följande:</w:t>
      </w:r>
    </w:p>
    <w:p w14:paraId="4992C549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rPr>
          <w:rFonts w:asciiTheme="minorHAnsi" w:hAnsiTheme="minorHAnsi" w:cstheme="minorBidi"/>
          <w:i/>
          <w:color w:val="000000" w:themeColor="text1"/>
          <w:sz w:val="22"/>
          <w:szCs w:val="22"/>
        </w:rPr>
      </w:pPr>
    </w:p>
    <w:p w14:paraId="1EA765A0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sz w:val="22"/>
          <w:szCs w:val="22"/>
        </w:rPr>
      </w:pPr>
      <w:r w:rsidRPr="005F4A2A">
        <w:rPr>
          <w:rFonts w:asciiTheme="minorHAnsi" w:hAnsiTheme="minorHAnsi" w:cstheme="minorBidi"/>
          <w:b/>
          <w:bCs/>
          <w:iCs/>
          <w:sz w:val="22"/>
          <w:szCs w:val="22"/>
        </w:rPr>
        <w:t>Ringlinjen</w:t>
      </w:r>
      <w:r w:rsidRPr="00C435B9">
        <w:rPr>
          <w:rFonts w:asciiTheme="minorHAnsi" w:hAnsiTheme="minorHAnsi" w:cstheme="minorBidi"/>
          <w:i/>
          <w:sz w:val="22"/>
          <w:szCs w:val="22"/>
        </w:rPr>
        <w:t xml:space="preserve"> </w:t>
      </w:r>
      <w:r w:rsidRPr="00C435B9">
        <w:rPr>
          <w:rFonts w:asciiTheme="minorHAnsi" w:hAnsiTheme="minorHAnsi" w:cstheme="minorBidi"/>
          <w:sz w:val="22"/>
          <w:szCs w:val="22"/>
        </w:rPr>
        <w:t>finansieras 50/50 mellan Västtrafik och Stadsmiljöförvaltningen. Kostnaderna för verksamheten ligger i linje med budget.</w:t>
      </w:r>
    </w:p>
    <w:p w14:paraId="16F27861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color w:val="FF0000"/>
          <w:sz w:val="22"/>
          <w:szCs w:val="22"/>
        </w:rPr>
      </w:pPr>
    </w:p>
    <w:p w14:paraId="6F00DF20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sz w:val="22"/>
          <w:szCs w:val="22"/>
        </w:rPr>
      </w:pPr>
      <w:r w:rsidRPr="005F4A2A">
        <w:rPr>
          <w:rFonts w:asciiTheme="minorHAnsi" w:hAnsiTheme="minorHAnsi" w:cstheme="minorBidi"/>
          <w:b/>
          <w:bCs/>
          <w:iCs/>
          <w:sz w:val="22"/>
          <w:szCs w:val="22"/>
        </w:rPr>
        <w:t>Spårvägssällskapet Ringlinjen</w:t>
      </w:r>
      <w:r w:rsidRPr="00C435B9">
        <w:rPr>
          <w:rFonts w:asciiTheme="minorHAnsi" w:hAnsiTheme="minorHAnsi" w:cstheme="minorBidi"/>
          <w:sz w:val="22"/>
          <w:szCs w:val="22"/>
        </w:rPr>
        <w:t xml:space="preserve"> har ett positivt resultat på 1,2 mnkr och det är intäkter för abonnemangskörningar från år 2023 som </w:t>
      </w:r>
      <w:r w:rsidRPr="00C435B9">
        <w:rPr>
          <w:rFonts w:asciiTheme="minorHAnsi" w:hAnsiTheme="minorHAnsi" w:cstheme="minorBidi"/>
          <w:i/>
          <w:sz w:val="22"/>
          <w:szCs w:val="22"/>
        </w:rPr>
        <w:t xml:space="preserve">Spårvägssällskapet </w:t>
      </w:r>
      <w:r w:rsidRPr="00C435B9">
        <w:rPr>
          <w:rFonts w:asciiTheme="minorHAnsi" w:hAnsiTheme="minorHAnsi" w:cstheme="minorBidi"/>
          <w:sz w:val="22"/>
          <w:szCs w:val="22"/>
        </w:rPr>
        <w:t>får behålla för fortsatt investering i verksamheten.</w:t>
      </w:r>
    </w:p>
    <w:p w14:paraId="0F7CD02E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424B2A6F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rPr>
          <w:rFonts w:asciiTheme="minorHAnsi" w:hAnsiTheme="minorHAnsi" w:cstheme="minorBidi"/>
          <w:sz w:val="22"/>
          <w:szCs w:val="22"/>
        </w:rPr>
      </w:pPr>
      <w:r w:rsidRPr="005F4A2A">
        <w:rPr>
          <w:rFonts w:asciiTheme="minorHAnsi" w:hAnsiTheme="minorHAnsi" w:cstheme="minorBidi"/>
          <w:b/>
          <w:bCs/>
          <w:iCs/>
          <w:sz w:val="22"/>
          <w:szCs w:val="22"/>
        </w:rPr>
        <w:t>Övriga avtal</w:t>
      </w:r>
      <w:r w:rsidRPr="00C435B9">
        <w:rPr>
          <w:rFonts w:asciiTheme="minorHAnsi" w:hAnsiTheme="minorHAnsi" w:cstheme="minorBidi"/>
          <w:sz w:val="22"/>
          <w:szCs w:val="22"/>
        </w:rPr>
        <w:t xml:space="preserve"> inom Infrastruktur och Driftsäkring avser fastighet samt arbeten mot externa kunder. I januari månad visar avdelningarna tillsammans ett negativt rörelseresultat om ca 0,1 mkr främst på grund av upparbetade kostnader och krediteringar.</w:t>
      </w:r>
    </w:p>
    <w:p w14:paraId="58A7C73A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3792F348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sz w:val="22"/>
          <w:szCs w:val="22"/>
        </w:rPr>
      </w:pPr>
      <w:r w:rsidRPr="005F4A2A">
        <w:rPr>
          <w:rFonts w:asciiTheme="minorHAnsi" w:hAnsiTheme="minorHAnsi" w:cstheme="minorBidi"/>
          <w:b/>
          <w:bCs/>
          <w:iCs/>
          <w:sz w:val="22"/>
          <w:szCs w:val="22"/>
        </w:rPr>
        <w:t>Särskild trafikledning</w:t>
      </w:r>
      <w:r w:rsidRPr="00C435B9">
        <w:rPr>
          <w:rFonts w:asciiTheme="minorHAnsi" w:hAnsiTheme="minorHAnsi" w:cstheme="minorBidi"/>
          <w:sz w:val="22"/>
          <w:szCs w:val="22"/>
        </w:rPr>
        <w:t xml:space="preserve"> finansieras av Stadsmiljöförvaltningen och kostnadsförs i linje med verksamhetens helårsbudget om 23 453 tkr. Effekt av eventuella budgetavvikelser hamnar enligt överenskommelse på Trafikavtalet. </w:t>
      </w:r>
    </w:p>
    <w:p w14:paraId="1B8BEAA0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rPr>
          <w:rFonts w:asciiTheme="minorHAnsi" w:hAnsiTheme="minorHAnsi" w:cstheme="minorBidi"/>
          <w:i/>
          <w:color w:val="FF0000"/>
          <w:sz w:val="22"/>
          <w:szCs w:val="22"/>
        </w:rPr>
      </w:pPr>
    </w:p>
    <w:p w14:paraId="61B4AAF4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sz w:val="22"/>
          <w:szCs w:val="22"/>
        </w:rPr>
      </w:pPr>
      <w:r w:rsidRPr="005F4A2A">
        <w:rPr>
          <w:rFonts w:asciiTheme="minorHAnsi" w:hAnsiTheme="minorHAnsi" w:cstheme="minorBidi"/>
          <w:b/>
          <w:bCs/>
          <w:iCs/>
          <w:sz w:val="22"/>
          <w:szCs w:val="22"/>
        </w:rPr>
        <w:t>Trafiksäkerhetsfunktion</w:t>
      </w:r>
      <w:r w:rsidRPr="00C435B9">
        <w:rPr>
          <w:rFonts w:asciiTheme="minorHAnsi" w:hAnsiTheme="minorHAnsi" w:cstheme="minorBidi"/>
          <w:sz w:val="22"/>
          <w:szCs w:val="22"/>
        </w:rPr>
        <w:t xml:space="preserve"> som finansieras av Stadsmiljöförvaltningen</w:t>
      </w:r>
      <w:r w:rsidRPr="00C435B9">
        <w:rPr>
          <w:rFonts w:asciiTheme="minorHAnsi" w:hAnsiTheme="minorHAnsi" w:cstheme="minorBidi"/>
          <w:color w:val="FF0000"/>
          <w:sz w:val="22"/>
          <w:szCs w:val="22"/>
        </w:rPr>
        <w:t xml:space="preserve">. </w:t>
      </w:r>
      <w:r w:rsidRPr="00C435B9">
        <w:rPr>
          <w:rFonts w:asciiTheme="minorHAnsi" w:hAnsiTheme="minorHAnsi" w:cstheme="minorBidi"/>
          <w:sz w:val="22"/>
          <w:szCs w:val="22"/>
        </w:rPr>
        <w:t>Budget 3,5 mnkr.</w:t>
      </w:r>
      <w:r w:rsidRPr="00C435B9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00C435B9">
        <w:rPr>
          <w:rFonts w:asciiTheme="minorHAnsi" w:hAnsiTheme="minorHAnsi" w:cstheme="minorBidi"/>
          <w:sz w:val="22"/>
          <w:szCs w:val="22"/>
        </w:rPr>
        <w:t>Kostnaderna för verksamheten ligger i linje med budget.</w:t>
      </w:r>
    </w:p>
    <w:p w14:paraId="6B0F40A2" w14:textId="77777777" w:rsidR="00A87A8C" w:rsidRPr="00C435B9" w:rsidRDefault="00A87A8C" w:rsidP="00A87A8C">
      <w:pPr>
        <w:pStyle w:val="paragraph"/>
        <w:spacing w:before="0" w:beforeAutospacing="0" w:after="0" w:afterAutospacing="0"/>
        <w:ind w:right="-86"/>
        <w:rPr>
          <w:rFonts w:asciiTheme="minorHAnsi" w:hAnsiTheme="minorHAnsi" w:cstheme="minorBidi"/>
          <w:i/>
          <w:sz w:val="22"/>
          <w:szCs w:val="22"/>
        </w:rPr>
      </w:pPr>
    </w:p>
    <w:p w14:paraId="009E7C64" w14:textId="432F7991" w:rsidR="00A87A8C" w:rsidRPr="00A87A8C" w:rsidRDefault="00A87A8C" w:rsidP="00A87A8C">
      <w:r w:rsidRPr="005F4A2A">
        <w:rPr>
          <w:rFonts w:asciiTheme="minorHAnsi" w:hAnsiTheme="minorHAnsi" w:cstheme="minorBidi"/>
          <w:b/>
          <w:bCs/>
          <w:iCs/>
        </w:rPr>
        <w:t>Projekt M33 och M34</w:t>
      </w:r>
      <w:r w:rsidRPr="00C435B9">
        <w:rPr>
          <w:rFonts w:asciiTheme="minorHAnsi" w:hAnsiTheme="minorHAnsi" w:cstheme="minorBidi"/>
        </w:rPr>
        <w:t xml:space="preserve"> som finansieras av Regionen. Budget 14,2 mnkr</w:t>
      </w:r>
      <w:r w:rsidRPr="00C435B9">
        <w:rPr>
          <w:rFonts w:asciiTheme="minorHAnsi" w:hAnsiTheme="minorHAnsi" w:cstheme="minorBidi"/>
          <w:color w:val="FF0000"/>
        </w:rPr>
        <w:t xml:space="preserve">. </w:t>
      </w:r>
      <w:r w:rsidRPr="00C435B9">
        <w:rPr>
          <w:rFonts w:asciiTheme="minorHAnsi" w:hAnsiTheme="minorHAnsi" w:cstheme="minorBidi"/>
        </w:rPr>
        <w:t>Kostnaderna i Projektet ligger i linje med budget</w:t>
      </w:r>
    </w:p>
    <w:sectPr w:rsidR="00A87A8C" w:rsidRPr="00A87A8C" w:rsidSect="00F16C1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4182B"/>
    <w:multiLevelType w:val="hybridMultilevel"/>
    <w:tmpl w:val="EE7CC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25684"/>
    <w:multiLevelType w:val="hybridMultilevel"/>
    <w:tmpl w:val="8B6C13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D2549"/>
    <w:multiLevelType w:val="hybridMultilevel"/>
    <w:tmpl w:val="4A3AF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F79DD"/>
    <w:multiLevelType w:val="hybridMultilevel"/>
    <w:tmpl w:val="BE0AFD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0615"/>
    <w:multiLevelType w:val="hybridMultilevel"/>
    <w:tmpl w:val="ECDC43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34232">
    <w:abstractNumId w:val="1"/>
  </w:num>
  <w:num w:numId="2" w16cid:durableId="42337763">
    <w:abstractNumId w:val="4"/>
  </w:num>
  <w:num w:numId="3" w16cid:durableId="1179153306">
    <w:abstractNumId w:val="0"/>
  </w:num>
  <w:num w:numId="4" w16cid:durableId="1206914181">
    <w:abstractNumId w:val="3"/>
  </w:num>
  <w:num w:numId="5" w16cid:durableId="116064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8C"/>
    <w:rsid w:val="00034AFF"/>
    <w:rsid w:val="00036F9A"/>
    <w:rsid w:val="00080735"/>
    <w:rsid w:val="000D244D"/>
    <w:rsid w:val="000D24EA"/>
    <w:rsid w:val="001012E1"/>
    <w:rsid w:val="00116412"/>
    <w:rsid w:val="00144DA3"/>
    <w:rsid w:val="00164BA4"/>
    <w:rsid w:val="001C5365"/>
    <w:rsid w:val="001D7F4B"/>
    <w:rsid w:val="00225628"/>
    <w:rsid w:val="00227823"/>
    <w:rsid w:val="0025297A"/>
    <w:rsid w:val="00263FF3"/>
    <w:rsid w:val="00266F1E"/>
    <w:rsid w:val="002B362E"/>
    <w:rsid w:val="002D6BD4"/>
    <w:rsid w:val="002E689C"/>
    <w:rsid w:val="003021BA"/>
    <w:rsid w:val="00336F46"/>
    <w:rsid w:val="0039001C"/>
    <w:rsid w:val="003E1D02"/>
    <w:rsid w:val="003F01C3"/>
    <w:rsid w:val="00431181"/>
    <w:rsid w:val="0046139C"/>
    <w:rsid w:val="004765E6"/>
    <w:rsid w:val="004E4353"/>
    <w:rsid w:val="004E4FDE"/>
    <w:rsid w:val="004F013E"/>
    <w:rsid w:val="00535DCD"/>
    <w:rsid w:val="00554472"/>
    <w:rsid w:val="00571440"/>
    <w:rsid w:val="00571668"/>
    <w:rsid w:val="00585F6C"/>
    <w:rsid w:val="00586A56"/>
    <w:rsid w:val="005F4A2A"/>
    <w:rsid w:val="00610735"/>
    <w:rsid w:val="00641982"/>
    <w:rsid w:val="00661000"/>
    <w:rsid w:val="00681DA1"/>
    <w:rsid w:val="006B1E89"/>
    <w:rsid w:val="006C301E"/>
    <w:rsid w:val="006C7911"/>
    <w:rsid w:val="006D3230"/>
    <w:rsid w:val="00734E6C"/>
    <w:rsid w:val="007D35FD"/>
    <w:rsid w:val="00845A95"/>
    <w:rsid w:val="00872346"/>
    <w:rsid w:val="008A1AE3"/>
    <w:rsid w:val="008A267C"/>
    <w:rsid w:val="008A5867"/>
    <w:rsid w:val="008C2E41"/>
    <w:rsid w:val="008E1392"/>
    <w:rsid w:val="008F2BF0"/>
    <w:rsid w:val="00943113"/>
    <w:rsid w:val="00974B07"/>
    <w:rsid w:val="009E551A"/>
    <w:rsid w:val="009E57BA"/>
    <w:rsid w:val="00A06576"/>
    <w:rsid w:val="00A12BA7"/>
    <w:rsid w:val="00A2230A"/>
    <w:rsid w:val="00A330AD"/>
    <w:rsid w:val="00A87A8C"/>
    <w:rsid w:val="00AF0740"/>
    <w:rsid w:val="00B61AC4"/>
    <w:rsid w:val="00B90557"/>
    <w:rsid w:val="00B95A2C"/>
    <w:rsid w:val="00BB22C5"/>
    <w:rsid w:val="00BC7AF2"/>
    <w:rsid w:val="00BC7BDA"/>
    <w:rsid w:val="00BD19DD"/>
    <w:rsid w:val="00BE6D90"/>
    <w:rsid w:val="00C00B67"/>
    <w:rsid w:val="00C1424C"/>
    <w:rsid w:val="00C255F2"/>
    <w:rsid w:val="00C50C64"/>
    <w:rsid w:val="00CA1E8B"/>
    <w:rsid w:val="00CA53B7"/>
    <w:rsid w:val="00CB028E"/>
    <w:rsid w:val="00CC146E"/>
    <w:rsid w:val="00D13BCF"/>
    <w:rsid w:val="00D34573"/>
    <w:rsid w:val="00D36E34"/>
    <w:rsid w:val="00D63A9F"/>
    <w:rsid w:val="00D91E7C"/>
    <w:rsid w:val="00DF5BF8"/>
    <w:rsid w:val="00DF6A30"/>
    <w:rsid w:val="00E26B4D"/>
    <w:rsid w:val="00E27AC8"/>
    <w:rsid w:val="00E32B9C"/>
    <w:rsid w:val="00EA21DE"/>
    <w:rsid w:val="00EA229E"/>
    <w:rsid w:val="00EF3823"/>
    <w:rsid w:val="00F1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9283"/>
  <w15:chartTrackingRefBased/>
  <w15:docId w15:val="{F6DF52F4-2D4C-4951-9469-E24DD59C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A87A8C"/>
    <w:pPr>
      <w:spacing w:after="200" w:line="276" w:lineRule="auto"/>
    </w:pPr>
    <w:rPr>
      <w:rFonts w:ascii="Calibri" w:eastAsia="Times New Roman" w:hAnsi="Calibri" w:cs="Times New Roman"/>
      <w:kern w:val="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GSNormal">
    <w:name w:val="GS Normal"/>
    <w:basedOn w:val="Normal"/>
    <w:link w:val="GSNormalChar"/>
    <w:qFormat/>
    <w:rsid w:val="00A87A8C"/>
    <w:pPr>
      <w:spacing w:after="120" w:line="240" w:lineRule="auto"/>
    </w:pPr>
    <w:rPr>
      <w:rFonts w:asciiTheme="minorHAnsi" w:eastAsia="Cambria" w:hAnsiTheme="minorHAnsi"/>
      <w:szCs w:val="24"/>
      <w:lang w:eastAsia="en-US"/>
    </w:rPr>
  </w:style>
  <w:style w:type="character" w:customStyle="1" w:styleId="GSNormalChar">
    <w:name w:val="GS Normal Char"/>
    <w:link w:val="GSNormal"/>
    <w:rsid w:val="00A87A8C"/>
    <w:rPr>
      <w:rFonts w:eastAsia="Cambria" w:cs="Times New Roman"/>
      <w:kern w:val="0"/>
      <w:szCs w:val="24"/>
    </w:rPr>
  </w:style>
  <w:style w:type="paragraph" w:customStyle="1" w:styleId="paragraph">
    <w:name w:val="paragraph"/>
    <w:basedOn w:val="Normal"/>
    <w:rsid w:val="00A87A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stycketeckensnitt"/>
    <w:rsid w:val="00A87A8C"/>
  </w:style>
  <w:style w:type="paragraph" w:styleId="Liststycke">
    <w:name w:val="List Paragraph"/>
    <w:basedOn w:val="Normal"/>
    <w:uiPriority w:val="34"/>
    <w:qFormat/>
    <w:rsid w:val="008C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AD431AC1C5E419A5CC19EF11653C7" ma:contentTypeVersion="13" ma:contentTypeDescription="Skapa ett nytt dokument." ma:contentTypeScope="" ma:versionID="79ccf69ab6d8adc5bd23eaf4cdf90b2a">
  <xsd:schema xmlns:xsd="http://www.w3.org/2001/XMLSchema" xmlns:xs="http://www.w3.org/2001/XMLSchema" xmlns:p="http://schemas.microsoft.com/office/2006/metadata/properties" xmlns:ns2="d4ab37c0-f16b-4663-bcb3-4acc59a49e4b" xmlns:ns3="ffcdd43c-4a88-4c51-be5f-9f29004498e9" targetNamespace="http://schemas.microsoft.com/office/2006/metadata/properties" ma:root="true" ma:fieldsID="2d4c308aceb82de74b99f4eafeca1fa9" ns2:_="" ns3:_="">
    <xsd:import namespace="d4ab37c0-f16b-4663-bcb3-4acc59a49e4b"/>
    <xsd:import namespace="ffcdd43c-4a88-4c51-be5f-9f2900449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b37c0-f16b-4663-bcb3-4acc59a49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d43c-4a88-4c51-be5f-9f2900449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6E264-858F-4857-A4D5-691AE928D3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7D8A18-6892-410A-A2A5-9AD8F78B7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4AE46-0C70-419E-AC00-95985F54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b37c0-f16b-4663-bcb3-4acc59a49e4b"/>
    <ds:schemaRef ds:uri="ffcdd43c-4a88-4c51-be5f-9f2900449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1419</Words>
  <Characters>7525</Characters>
  <Application>Microsoft Office Word</Application>
  <DocSecurity>4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Huish</dc:creator>
  <cp:keywords/>
  <dc:description/>
  <cp:lastModifiedBy>Helene Fendell</cp:lastModifiedBy>
  <cp:revision>2</cp:revision>
  <cp:lastPrinted>2024-03-05T11:12:00Z</cp:lastPrinted>
  <dcterms:created xsi:type="dcterms:W3CDTF">2024-03-05T16:12:00Z</dcterms:created>
  <dcterms:modified xsi:type="dcterms:W3CDTF">2024-03-05T16:12:00Z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0x010100306AD431AC1C5E419A5CC19EF11653C7</vt:lpwstr>
  </property>
</Properties>
</file>