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0BADA1F1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9764A8">
        <w:rPr>
          <w:sz w:val="24"/>
        </w:rPr>
        <w:t>9</w:t>
      </w:r>
    </w:p>
    <w:p w14:paraId="56FF1736" w14:textId="44A95D3C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9764A8">
        <w:rPr>
          <w:sz w:val="24"/>
        </w:rPr>
        <w:t>0</w:t>
      </w:r>
      <w:r w:rsidR="00874CE4">
        <w:rPr>
          <w:sz w:val="24"/>
        </w:rPr>
        <w:t>8-31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34150D96" w14:textId="29A6A62E" w:rsidR="005731A7" w:rsidRPr="00740B61" w:rsidRDefault="00874CE4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Förvärv Fastighets AB Sannegården 26:1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D1B3F"/>
    <w:rsid w:val="00904E15"/>
    <w:rsid w:val="00914E4D"/>
    <w:rsid w:val="009764A8"/>
    <w:rsid w:val="00992219"/>
    <w:rsid w:val="009A6C34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45</cp:revision>
  <cp:lastPrinted>2015-05-04T09:15:00Z</cp:lastPrinted>
  <dcterms:created xsi:type="dcterms:W3CDTF">2016-03-29T14:32:00Z</dcterms:created>
  <dcterms:modified xsi:type="dcterms:W3CDTF">2023-10-26T11:31:00Z</dcterms:modified>
</cp:coreProperties>
</file>