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B29B" w14:textId="77777777" w:rsidR="00CF1029" w:rsidRDefault="00823AFE">
      <w:pPr>
        <w:pStyle w:val="Rubrik"/>
      </w:pPr>
      <w:r>
        <w:t>Delårsrapport mars 2023 Bolag</w:t>
      </w:r>
    </w:p>
    <w:p w14:paraId="205EAB0B" w14:textId="77777777" w:rsidR="00CF1029" w:rsidRDefault="00823AFE">
      <w:pPr>
        <w:pStyle w:val="Enhet"/>
      </w:pPr>
      <w:r>
        <w:t>Göteborgs Spårvägar AB</w:t>
      </w:r>
    </w:p>
    <w:p w14:paraId="6AD48A74" w14:textId="77777777" w:rsidR="00CF1029" w:rsidRDefault="00823AFE">
      <w:r>
        <w:br w:type="page"/>
      </w:r>
    </w:p>
    <w:sdt>
      <w:sdtPr>
        <w:rPr>
          <w:rFonts w:ascii="Times New Roman" w:eastAsia="Times New Roman" w:hAnsi="Times New Roman" w:cs="Times New Roman"/>
          <w:b w:val="0"/>
          <w:bCs w:val="0"/>
          <w:color w:val="auto"/>
          <w:sz w:val="22"/>
          <w:szCs w:val="22"/>
        </w:rPr>
        <w:id w:val="-1361122859"/>
        <w:docPartObj>
          <w:docPartGallery w:val="Table of Contents"/>
          <w:docPartUnique/>
        </w:docPartObj>
      </w:sdtPr>
      <w:sdtContent>
        <w:p w14:paraId="76D06C96" w14:textId="77777777" w:rsidR="00CF1029" w:rsidRDefault="00823AFE">
          <w:pPr>
            <w:pStyle w:val="Innehllsfrteckningsrubrik"/>
          </w:pPr>
          <w:r>
            <w:t>Innehållsförteckning</w:t>
          </w:r>
        </w:p>
        <w:p w14:paraId="34E2BECA" w14:textId="77777777" w:rsidR="00AC071C" w:rsidRDefault="00823AFE">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132262476" w:history="1">
            <w:r w:rsidR="00AC071C" w:rsidRPr="00C7732F">
              <w:rPr>
                <w:rStyle w:val="Hyperlnk"/>
                <w:noProof/>
              </w:rPr>
              <w:t>1</w:t>
            </w:r>
            <w:r w:rsidR="00AC071C">
              <w:rPr>
                <w:rFonts w:asciiTheme="minorHAnsi" w:hAnsiTheme="minorHAnsi"/>
                <w:b w:val="0"/>
                <w:bCs w:val="0"/>
                <w:noProof/>
                <w:color w:val="auto"/>
                <w:lang w:eastAsia="sv-SE"/>
              </w:rPr>
              <w:tab/>
            </w:r>
            <w:r w:rsidR="00AC071C" w:rsidRPr="00C7732F">
              <w:rPr>
                <w:rStyle w:val="Hyperlnk"/>
                <w:noProof/>
              </w:rPr>
              <w:t>Sammanfattning</w:t>
            </w:r>
            <w:r w:rsidR="00AC071C">
              <w:rPr>
                <w:noProof/>
                <w:webHidden/>
              </w:rPr>
              <w:tab/>
            </w:r>
            <w:r w:rsidR="00AC071C">
              <w:rPr>
                <w:noProof/>
                <w:webHidden/>
              </w:rPr>
              <w:fldChar w:fldCharType="begin"/>
            </w:r>
            <w:r w:rsidR="00AC071C">
              <w:rPr>
                <w:noProof/>
                <w:webHidden/>
              </w:rPr>
              <w:instrText xml:space="preserve"> PAGEREF _Toc132262476 \h </w:instrText>
            </w:r>
            <w:r w:rsidR="00AC071C">
              <w:rPr>
                <w:noProof/>
                <w:webHidden/>
              </w:rPr>
            </w:r>
            <w:r w:rsidR="00AC071C">
              <w:rPr>
                <w:noProof/>
                <w:webHidden/>
              </w:rPr>
              <w:fldChar w:fldCharType="separate"/>
            </w:r>
            <w:r w:rsidR="00AC071C">
              <w:rPr>
                <w:noProof/>
                <w:webHidden/>
              </w:rPr>
              <w:t>3</w:t>
            </w:r>
            <w:r w:rsidR="00AC071C">
              <w:rPr>
                <w:noProof/>
                <w:webHidden/>
              </w:rPr>
              <w:fldChar w:fldCharType="end"/>
            </w:r>
          </w:hyperlink>
        </w:p>
        <w:p w14:paraId="79BE0E71" w14:textId="77777777" w:rsidR="00AC071C" w:rsidRDefault="00000000">
          <w:pPr>
            <w:pStyle w:val="Innehll1"/>
            <w:rPr>
              <w:rFonts w:asciiTheme="minorHAnsi" w:hAnsiTheme="minorHAnsi"/>
              <w:b w:val="0"/>
              <w:bCs w:val="0"/>
              <w:noProof/>
              <w:color w:val="auto"/>
              <w:lang w:eastAsia="sv-SE"/>
            </w:rPr>
          </w:pPr>
          <w:hyperlink w:anchor="_Toc132262477" w:history="1">
            <w:r w:rsidR="00AC071C" w:rsidRPr="00C7732F">
              <w:rPr>
                <w:rStyle w:val="Hyperlnk"/>
                <w:noProof/>
              </w:rPr>
              <w:t>2</w:t>
            </w:r>
            <w:r w:rsidR="00AC071C">
              <w:rPr>
                <w:rFonts w:asciiTheme="minorHAnsi" w:hAnsiTheme="minorHAnsi"/>
                <w:b w:val="0"/>
                <w:bCs w:val="0"/>
                <w:noProof/>
                <w:color w:val="auto"/>
                <w:lang w:eastAsia="sv-SE"/>
              </w:rPr>
              <w:tab/>
            </w:r>
            <w:r w:rsidR="00AC071C" w:rsidRPr="00C7732F">
              <w:rPr>
                <w:rStyle w:val="Hyperlnk"/>
                <w:noProof/>
              </w:rPr>
              <w:t>Väsentlig styrinformation till kommunstyrelsen</w:t>
            </w:r>
            <w:r w:rsidR="00AC071C">
              <w:rPr>
                <w:noProof/>
                <w:webHidden/>
              </w:rPr>
              <w:tab/>
            </w:r>
            <w:r w:rsidR="00AC071C">
              <w:rPr>
                <w:noProof/>
                <w:webHidden/>
              </w:rPr>
              <w:fldChar w:fldCharType="begin"/>
            </w:r>
            <w:r w:rsidR="00AC071C">
              <w:rPr>
                <w:noProof/>
                <w:webHidden/>
              </w:rPr>
              <w:instrText xml:space="preserve"> PAGEREF _Toc132262477 \h </w:instrText>
            </w:r>
            <w:r w:rsidR="00AC071C">
              <w:rPr>
                <w:noProof/>
                <w:webHidden/>
              </w:rPr>
            </w:r>
            <w:r w:rsidR="00AC071C">
              <w:rPr>
                <w:noProof/>
                <w:webHidden/>
              </w:rPr>
              <w:fldChar w:fldCharType="separate"/>
            </w:r>
            <w:r w:rsidR="00AC071C">
              <w:rPr>
                <w:noProof/>
                <w:webHidden/>
              </w:rPr>
              <w:t>5</w:t>
            </w:r>
            <w:r w:rsidR="00AC071C">
              <w:rPr>
                <w:noProof/>
                <w:webHidden/>
              </w:rPr>
              <w:fldChar w:fldCharType="end"/>
            </w:r>
          </w:hyperlink>
        </w:p>
        <w:p w14:paraId="0B3CF4B3" w14:textId="77777777" w:rsidR="00AC071C" w:rsidRDefault="00000000">
          <w:pPr>
            <w:pStyle w:val="Innehll2"/>
            <w:rPr>
              <w:rFonts w:asciiTheme="minorHAnsi" w:eastAsiaTheme="minorEastAsia" w:hAnsiTheme="minorHAnsi" w:cstheme="minorBidi"/>
              <w:noProof/>
              <w:color w:val="auto"/>
              <w:lang w:eastAsia="sv-SE"/>
            </w:rPr>
          </w:pPr>
          <w:hyperlink w:anchor="_Toc132262478" w:history="1">
            <w:r w:rsidR="00AC071C" w:rsidRPr="00C7732F">
              <w:rPr>
                <w:rStyle w:val="Hyperlnk"/>
                <w:noProof/>
              </w:rPr>
              <w:t>2.1</w:t>
            </w:r>
            <w:r w:rsidR="00AC071C">
              <w:rPr>
                <w:rFonts w:asciiTheme="minorHAnsi" w:eastAsiaTheme="minorEastAsia" w:hAnsiTheme="minorHAnsi" w:cstheme="minorBidi"/>
                <w:noProof/>
                <w:color w:val="auto"/>
                <w:lang w:eastAsia="sv-SE"/>
              </w:rPr>
              <w:tab/>
            </w:r>
            <w:r w:rsidR="00AC071C" w:rsidRPr="00C7732F">
              <w:rPr>
                <w:rStyle w:val="Hyperlnk"/>
                <w:noProof/>
              </w:rPr>
              <w:t>Verksamhetens utveckling</w:t>
            </w:r>
            <w:r w:rsidR="00AC071C">
              <w:rPr>
                <w:noProof/>
                <w:webHidden/>
              </w:rPr>
              <w:tab/>
            </w:r>
            <w:r w:rsidR="00AC071C">
              <w:rPr>
                <w:noProof/>
                <w:webHidden/>
              </w:rPr>
              <w:fldChar w:fldCharType="begin"/>
            </w:r>
            <w:r w:rsidR="00AC071C">
              <w:rPr>
                <w:noProof/>
                <w:webHidden/>
              </w:rPr>
              <w:instrText xml:space="preserve"> PAGEREF _Toc132262478 \h </w:instrText>
            </w:r>
            <w:r w:rsidR="00AC071C">
              <w:rPr>
                <w:noProof/>
                <w:webHidden/>
              </w:rPr>
            </w:r>
            <w:r w:rsidR="00AC071C">
              <w:rPr>
                <w:noProof/>
                <w:webHidden/>
              </w:rPr>
              <w:fldChar w:fldCharType="separate"/>
            </w:r>
            <w:r w:rsidR="00AC071C">
              <w:rPr>
                <w:noProof/>
                <w:webHidden/>
              </w:rPr>
              <w:t>5</w:t>
            </w:r>
            <w:r w:rsidR="00AC071C">
              <w:rPr>
                <w:noProof/>
                <w:webHidden/>
              </w:rPr>
              <w:fldChar w:fldCharType="end"/>
            </w:r>
          </w:hyperlink>
        </w:p>
        <w:p w14:paraId="3C841D04"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79" w:history="1">
            <w:r w:rsidR="00AC071C" w:rsidRPr="00C7732F">
              <w:rPr>
                <w:rStyle w:val="Hyperlnk"/>
                <w:noProof/>
              </w:rPr>
              <w:t>2.1.1</w:t>
            </w:r>
            <w:r w:rsidR="00AC071C">
              <w:rPr>
                <w:rFonts w:asciiTheme="minorHAnsi" w:eastAsiaTheme="minorEastAsia" w:hAnsiTheme="minorHAnsi" w:cstheme="minorBidi"/>
                <w:noProof/>
                <w:color w:val="auto"/>
                <w:lang w:eastAsia="sv-SE"/>
              </w:rPr>
              <w:tab/>
            </w:r>
            <w:r w:rsidR="00AC071C" w:rsidRPr="00C7732F">
              <w:rPr>
                <w:rStyle w:val="Hyperlnk"/>
                <w:noProof/>
              </w:rPr>
              <w:t>Mått/nyckeltal som beskriver verksamhetens utveckling</w:t>
            </w:r>
            <w:r w:rsidR="00AC071C">
              <w:rPr>
                <w:noProof/>
                <w:webHidden/>
              </w:rPr>
              <w:tab/>
            </w:r>
            <w:r w:rsidR="00AC071C">
              <w:rPr>
                <w:noProof/>
                <w:webHidden/>
              </w:rPr>
              <w:fldChar w:fldCharType="begin"/>
            </w:r>
            <w:r w:rsidR="00AC071C">
              <w:rPr>
                <w:noProof/>
                <w:webHidden/>
              </w:rPr>
              <w:instrText xml:space="preserve"> PAGEREF _Toc132262479 \h </w:instrText>
            </w:r>
            <w:r w:rsidR="00AC071C">
              <w:rPr>
                <w:noProof/>
                <w:webHidden/>
              </w:rPr>
            </w:r>
            <w:r w:rsidR="00AC071C">
              <w:rPr>
                <w:noProof/>
                <w:webHidden/>
              </w:rPr>
              <w:fldChar w:fldCharType="separate"/>
            </w:r>
            <w:r w:rsidR="00AC071C">
              <w:rPr>
                <w:noProof/>
                <w:webHidden/>
              </w:rPr>
              <w:t>5</w:t>
            </w:r>
            <w:r w:rsidR="00AC071C">
              <w:rPr>
                <w:noProof/>
                <w:webHidden/>
              </w:rPr>
              <w:fldChar w:fldCharType="end"/>
            </w:r>
          </w:hyperlink>
        </w:p>
        <w:p w14:paraId="3359FFD1"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80" w:history="1">
            <w:r w:rsidR="00AC071C" w:rsidRPr="00C7732F">
              <w:rPr>
                <w:rStyle w:val="Hyperlnk"/>
                <w:noProof/>
              </w:rPr>
              <w:t>2.1.2</w:t>
            </w:r>
            <w:r w:rsidR="00AC071C">
              <w:rPr>
                <w:rFonts w:asciiTheme="minorHAnsi" w:eastAsiaTheme="minorEastAsia" w:hAnsiTheme="minorHAnsi" w:cstheme="minorBidi"/>
                <w:noProof/>
                <w:color w:val="auto"/>
                <w:lang w:eastAsia="sv-SE"/>
              </w:rPr>
              <w:tab/>
            </w:r>
            <w:r w:rsidR="00AC071C" w:rsidRPr="00C7732F">
              <w:rPr>
                <w:rStyle w:val="Hyperlnk"/>
                <w:noProof/>
              </w:rPr>
              <w:t>Väsentliga avvikelser i verksamhetens utveckling</w:t>
            </w:r>
            <w:r w:rsidR="00AC071C">
              <w:rPr>
                <w:noProof/>
                <w:webHidden/>
              </w:rPr>
              <w:tab/>
            </w:r>
            <w:r w:rsidR="00AC071C">
              <w:rPr>
                <w:noProof/>
                <w:webHidden/>
              </w:rPr>
              <w:fldChar w:fldCharType="begin"/>
            </w:r>
            <w:r w:rsidR="00AC071C">
              <w:rPr>
                <w:noProof/>
                <w:webHidden/>
              </w:rPr>
              <w:instrText xml:space="preserve"> PAGEREF _Toc132262480 \h </w:instrText>
            </w:r>
            <w:r w:rsidR="00AC071C">
              <w:rPr>
                <w:noProof/>
                <w:webHidden/>
              </w:rPr>
            </w:r>
            <w:r w:rsidR="00AC071C">
              <w:rPr>
                <w:noProof/>
                <w:webHidden/>
              </w:rPr>
              <w:fldChar w:fldCharType="separate"/>
            </w:r>
            <w:r w:rsidR="00AC071C">
              <w:rPr>
                <w:noProof/>
                <w:webHidden/>
              </w:rPr>
              <w:t>6</w:t>
            </w:r>
            <w:r w:rsidR="00AC071C">
              <w:rPr>
                <w:noProof/>
                <w:webHidden/>
              </w:rPr>
              <w:fldChar w:fldCharType="end"/>
            </w:r>
          </w:hyperlink>
        </w:p>
        <w:p w14:paraId="1EB7B4D8"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81" w:history="1">
            <w:r w:rsidR="00AC071C" w:rsidRPr="00C7732F">
              <w:rPr>
                <w:rStyle w:val="Hyperlnk"/>
                <w:noProof/>
              </w:rPr>
              <w:t>2.1.3</w:t>
            </w:r>
            <w:r w:rsidR="00AC071C">
              <w:rPr>
                <w:rFonts w:asciiTheme="minorHAnsi" w:eastAsiaTheme="minorEastAsia" w:hAnsiTheme="minorHAnsi" w:cstheme="minorBidi"/>
                <w:noProof/>
                <w:color w:val="auto"/>
                <w:lang w:eastAsia="sv-SE"/>
              </w:rPr>
              <w:tab/>
            </w:r>
            <w:r w:rsidR="00AC071C" w:rsidRPr="00C7732F">
              <w:rPr>
                <w:rStyle w:val="Hyperlnk"/>
                <w:noProof/>
              </w:rPr>
              <w:t>Övrig väsentlig information till kommunstyrelsen</w:t>
            </w:r>
            <w:r w:rsidR="00AC071C">
              <w:rPr>
                <w:noProof/>
                <w:webHidden/>
              </w:rPr>
              <w:tab/>
            </w:r>
            <w:r w:rsidR="00AC071C">
              <w:rPr>
                <w:noProof/>
                <w:webHidden/>
              </w:rPr>
              <w:fldChar w:fldCharType="begin"/>
            </w:r>
            <w:r w:rsidR="00AC071C">
              <w:rPr>
                <w:noProof/>
                <w:webHidden/>
              </w:rPr>
              <w:instrText xml:space="preserve"> PAGEREF _Toc132262481 \h </w:instrText>
            </w:r>
            <w:r w:rsidR="00AC071C">
              <w:rPr>
                <w:noProof/>
                <w:webHidden/>
              </w:rPr>
            </w:r>
            <w:r w:rsidR="00AC071C">
              <w:rPr>
                <w:noProof/>
                <w:webHidden/>
              </w:rPr>
              <w:fldChar w:fldCharType="separate"/>
            </w:r>
            <w:r w:rsidR="00AC071C">
              <w:rPr>
                <w:noProof/>
                <w:webHidden/>
              </w:rPr>
              <w:t>7</w:t>
            </w:r>
            <w:r w:rsidR="00AC071C">
              <w:rPr>
                <w:noProof/>
                <w:webHidden/>
              </w:rPr>
              <w:fldChar w:fldCharType="end"/>
            </w:r>
          </w:hyperlink>
        </w:p>
        <w:p w14:paraId="08A173A0" w14:textId="77777777" w:rsidR="00AC071C" w:rsidRDefault="00000000">
          <w:pPr>
            <w:pStyle w:val="Innehll2"/>
            <w:rPr>
              <w:rFonts w:asciiTheme="minorHAnsi" w:eastAsiaTheme="minorEastAsia" w:hAnsiTheme="minorHAnsi" w:cstheme="minorBidi"/>
              <w:noProof/>
              <w:color w:val="auto"/>
              <w:lang w:eastAsia="sv-SE"/>
            </w:rPr>
          </w:pPr>
          <w:hyperlink w:anchor="_Toc132262482" w:history="1">
            <w:r w:rsidR="00AC071C" w:rsidRPr="00C7732F">
              <w:rPr>
                <w:rStyle w:val="Hyperlnk"/>
                <w:noProof/>
              </w:rPr>
              <w:t>2.2</w:t>
            </w:r>
            <w:r w:rsidR="00AC071C">
              <w:rPr>
                <w:rFonts w:asciiTheme="minorHAnsi" w:eastAsiaTheme="minorEastAsia" w:hAnsiTheme="minorHAnsi" w:cstheme="minorBidi"/>
                <w:noProof/>
                <w:color w:val="auto"/>
                <w:lang w:eastAsia="sv-SE"/>
              </w:rPr>
              <w:tab/>
            </w:r>
            <w:r w:rsidR="00AC071C" w:rsidRPr="00C7732F">
              <w:rPr>
                <w:rStyle w:val="Hyperlnk"/>
                <w:noProof/>
              </w:rPr>
              <w:t>Kommunfullmäktiges budgetmål</w:t>
            </w:r>
            <w:r w:rsidR="00AC071C">
              <w:rPr>
                <w:noProof/>
                <w:webHidden/>
              </w:rPr>
              <w:tab/>
            </w:r>
            <w:r w:rsidR="00AC071C">
              <w:rPr>
                <w:noProof/>
                <w:webHidden/>
              </w:rPr>
              <w:fldChar w:fldCharType="begin"/>
            </w:r>
            <w:r w:rsidR="00AC071C">
              <w:rPr>
                <w:noProof/>
                <w:webHidden/>
              </w:rPr>
              <w:instrText xml:space="preserve"> PAGEREF _Toc132262482 \h </w:instrText>
            </w:r>
            <w:r w:rsidR="00AC071C">
              <w:rPr>
                <w:noProof/>
                <w:webHidden/>
              </w:rPr>
            </w:r>
            <w:r w:rsidR="00AC071C">
              <w:rPr>
                <w:noProof/>
                <w:webHidden/>
              </w:rPr>
              <w:fldChar w:fldCharType="separate"/>
            </w:r>
            <w:r w:rsidR="00AC071C">
              <w:rPr>
                <w:noProof/>
                <w:webHidden/>
              </w:rPr>
              <w:t>7</w:t>
            </w:r>
            <w:r w:rsidR="00AC071C">
              <w:rPr>
                <w:noProof/>
                <w:webHidden/>
              </w:rPr>
              <w:fldChar w:fldCharType="end"/>
            </w:r>
          </w:hyperlink>
        </w:p>
        <w:p w14:paraId="34DD7A99"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83" w:history="1">
            <w:r w:rsidR="00AC071C" w:rsidRPr="00C7732F">
              <w:rPr>
                <w:rStyle w:val="Hyperlnk"/>
                <w:noProof/>
              </w:rPr>
              <w:t>2.2.1</w:t>
            </w:r>
            <w:r w:rsidR="00AC071C">
              <w:rPr>
                <w:rFonts w:asciiTheme="minorHAnsi" w:eastAsiaTheme="minorEastAsia" w:hAnsiTheme="minorHAnsi" w:cstheme="minorBidi"/>
                <w:noProof/>
                <w:color w:val="auto"/>
                <w:lang w:eastAsia="sv-SE"/>
              </w:rPr>
              <w:tab/>
            </w:r>
            <w:r w:rsidR="00AC071C" w:rsidRPr="00C7732F">
              <w:rPr>
                <w:rStyle w:val="Hyperlnk"/>
                <w:noProof/>
              </w:rPr>
              <w:t>Organisationsmål</w:t>
            </w:r>
            <w:r w:rsidR="00AC071C">
              <w:rPr>
                <w:noProof/>
                <w:webHidden/>
              </w:rPr>
              <w:tab/>
            </w:r>
            <w:r w:rsidR="00AC071C">
              <w:rPr>
                <w:noProof/>
                <w:webHidden/>
              </w:rPr>
              <w:fldChar w:fldCharType="begin"/>
            </w:r>
            <w:r w:rsidR="00AC071C">
              <w:rPr>
                <w:noProof/>
                <w:webHidden/>
              </w:rPr>
              <w:instrText xml:space="preserve"> PAGEREF _Toc132262483 \h </w:instrText>
            </w:r>
            <w:r w:rsidR="00AC071C">
              <w:rPr>
                <w:noProof/>
                <w:webHidden/>
              </w:rPr>
            </w:r>
            <w:r w:rsidR="00AC071C">
              <w:rPr>
                <w:noProof/>
                <w:webHidden/>
              </w:rPr>
              <w:fldChar w:fldCharType="separate"/>
            </w:r>
            <w:r w:rsidR="00AC071C">
              <w:rPr>
                <w:noProof/>
                <w:webHidden/>
              </w:rPr>
              <w:t>7</w:t>
            </w:r>
            <w:r w:rsidR="00AC071C">
              <w:rPr>
                <w:noProof/>
                <w:webHidden/>
              </w:rPr>
              <w:fldChar w:fldCharType="end"/>
            </w:r>
          </w:hyperlink>
        </w:p>
        <w:p w14:paraId="2FB4FF46" w14:textId="77777777" w:rsidR="00AC071C" w:rsidRDefault="00000000">
          <w:pPr>
            <w:pStyle w:val="Innehll1"/>
            <w:rPr>
              <w:rFonts w:asciiTheme="minorHAnsi" w:hAnsiTheme="minorHAnsi"/>
              <w:b w:val="0"/>
              <w:bCs w:val="0"/>
              <w:noProof/>
              <w:color w:val="auto"/>
              <w:lang w:eastAsia="sv-SE"/>
            </w:rPr>
          </w:pPr>
          <w:hyperlink w:anchor="_Toc132262484" w:history="1">
            <w:r w:rsidR="00AC071C" w:rsidRPr="00C7732F">
              <w:rPr>
                <w:rStyle w:val="Hyperlnk"/>
                <w:noProof/>
              </w:rPr>
              <w:t>3</w:t>
            </w:r>
            <w:r w:rsidR="00AC071C">
              <w:rPr>
                <w:rFonts w:asciiTheme="minorHAnsi" w:hAnsiTheme="minorHAnsi"/>
                <w:b w:val="0"/>
                <w:bCs w:val="0"/>
                <w:noProof/>
                <w:color w:val="auto"/>
                <w:lang w:eastAsia="sv-SE"/>
              </w:rPr>
              <w:tab/>
            </w:r>
            <w:r w:rsidR="00AC071C" w:rsidRPr="00C7732F">
              <w:rPr>
                <w:rStyle w:val="Hyperlnk"/>
                <w:noProof/>
              </w:rPr>
              <w:t>Övrig uppföljning till kommunstyrelsen</w:t>
            </w:r>
            <w:r w:rsidR="00AC071C">
              <w:rPr>
                <w:noProof/>
                <w:webHidden/>
              </w:rPr>
              <w:tab/>
            </w:r>
            <w:r w:rsidR="00AC071C">
              <w:rPr>
                <w:noProof/>
                <w:webHidden/>
              </w:rPr>
              <w:fldChar w:fldCharType="begin"/>
            </w:r>
            <w:r w:rsidR="00AC071C">
              <w:rPr>
                <w:noProof/>
                <w:webHidden/>
              </w:rPr>
              <w:instrText xml:space="preserve"> PAGEREF _Toc132262484 \h </w:instrText>
            </w:r>
            <w:r w:rsidR="00AC071C">
              <w:rPr>
                <w:noProof/>
                <w:webHidden/>
              </w:rPr>
            </w:r>
            <w:r w:rsidR="00AC071C">
              <w:rPr>
                <w:noProof/>
                <w:webHidden/>
              </w:rPr>
              <w:fldChar w:fldCharType="separate"/>
            </w:r>
            <w:r w:rsidR="00AC071C">
              <w:rPr>
                <w:noProof/>
                <w:webHidden/>
              </w:rPr>
              <w:t>9</w:t>
            </w:r>
            <w:r w:rsidR="00AC071C">
              <w:rPr>
                <w:noProof/>
                <w:webHidden/>
              </w:rPr>
              <w:fldChar w:fldCharType="end"/>
            </w:r>
          </w:hyperlink>
        </w:p>
        <w:p w14:paraId="4DB1E30A" w14:textId="77777777" w:rsidR="00AC071C" w:rsidRDefault="00000000">
          <w:pPr>
            <w:pStyle w:val="Innehll2"/>
            <w:rPr>
              <w:rFonts w:asciiTheme="minorHAnsi" w:eastAsiaTheme="minorEastAsia" w:hAnsiTheme="minorHAnsi" w:cstheme="minorBidi"/>
              <w:noProof/>
              <w:color w:val="auto"/>
              <w:lang w:eastAsia="sv-SE"/>
            </w:rPr>
          </w:pPr>
          <w:hyperlink w:anchor="_Toc132262485" w:history="1">
            <w:r w:rsidR="00AC071C" w:rsidRPr="00C7732F">
              <w:rPr>
                <w:rStyle w:val="Hyperlnk"/>
                <w:noProof/>
              </w:rPr>
              <w:t>3.1</w:t>
            </w:r>
            <w:r w:rsidR="00AC071C">
              <w:rPr>
                <w:rFonts w:asciiTheme="minorHAnsi" w:eastAsiaTheme="minorEastAsia" w:hAnsiTheme="minorHAnsi" w:cstheme="minorBidi"/>
                <w:noProof/>
                <w:color w:val="auto"/>
                <w:lang w:eastAsia="sv-SE"/>
              </w:rPr>
              <w:tab/>
            </w:r>
            <w:r w:rsidR="00AC071C" w:rsidRPr="00C7732F">
              <w:rPr>
                <w:rStyle w:val="Hyperlnk"/>
                <w:noProof/>
              </w:rPr>
              <w:t>Utveckling inom personalområdet</w:t>
            </w:r>
            <w:r w:rsidR="00AC071C">
              <w:rPr>
                <w:noProof/>
                <w:webHidden/>
              </w:rPr>
              <w:tab/>
            </w:r>
            <w:r w:rsidR="00AC071C">
              <w:rPr>
                <w:noProof/>
                <w:webHidden/>
              </w:rPr>
              <w:fldChar w:fldCharType="begin"/>
            </w:r>
            <w:r w:rsidR="00AC071C">
              <w:rPr>
                <w:noProof/>
                <w:webHidden/>
              </w:rPr>
              <w:instrText xml:space="preserve"> PAGEREF _Toc132262485 \h </w:instrText>
            </w:r>
            <w:r w:rsidR="00AC071C">
              <w:rPr>
                <w:noProof/>
                <w:webHidden/>
              </w:rPr>
            </w:r>
            <w:r w:rsidR="00AC071C">
              <w:rPr>
                <w:noProof/>
                <w:webHidden/>
              </w:rPr>
              <w:fldChar w:fldCharType="separate"/>
            </w:r>
            <w:r w:rsidR="00AC071C">
              <w:rPr>
                <w:noProof/>
                <w:webHidden/>
              </w:rPr>
              <w:t>9</w:t>
            </w:r>
            <w:r w:rsidR="00AC071C">
              <w:rPr>
                <w:noProof/>
                <w:webHidden/>
              </w:rPr>
              <w:fldChar w:fldCharType="end"/>
            </w:r>
          </w:hyperlink>
        </w:p>
        <w:p w14:paraId="3C5FE2D4"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86" w:history="1">
            <w:r w:rsidR="00AC071C" w:rsidRPr="00C7732F">
              <w:rPr>
                <w:rStyle w:val="Hyperlnk"/>
                <w:noProof/>
              </w:rPr>
              <w:t>3.1.1</w:t>
            </w:r>
            <w:r w:rsidR="00AC071C">
              <w:rPr>
                <w:rFonts w:asciiTheme="minorHAnsi" w:eastAsiaTheme="minorEastAsia" w:hAnsiTheme="minorHAnsi" w:cstheme="minorBidi"/>
                <w:noProof/>
                <w:color w:val="auto"/>
                <w:lang w:eastAsia="sv-SE"/>
              </w:rPr>
              <w:tab/>
            </w:r>
            <w:r w:rsidR="00AC071C" w:rsidRPr="00C7732F">
              <w:rPr>
                <w:rStyle w:val="Hyperlnk"/>
                <w:noProof/>
              </w:rPr>
              <w:t>Mått/nyckeltal som beskriver utvecklingen ur ett HR-perspektiv</w:t>
            </w:r>
            <w:r w:rsidR="00AC071C">
              <w:rPr>
                <w:noProof/>
                <w:webHidden/>
              </w:rPr>
              <w:tab/>
            </w:r>
            <w:r w:rsidR="00AC071C">
              <w:rPr>
                <w:noProof/>
                <w:webHidden/>
              </w:rPr>
              <w:fldChar w:fldCharType="begin"/>
            </w:r>
            <w:r w:rsidR="00AC071C">
              <w:rPr>
                <w:noProof/>
                <w:webHidden/>
              </w:rPr>
              <w:instrText xml:space="preserve"> PAGEREF _Toc132262486 \h </w:instrText>
            </w:r>
            <w:r w:rsidR="00AC071C">
              <w:rPr>
                <w:noProof/>
                <w:webHidden/>
              </w:rPr>
            </w:r>
            <w:r w:rsidR="00AC071C">
              <w:rPr>
                <w:noProof/>
                <w:webHidden/>
              </w:rPr>
              <w:fldChar w:fldCharType="separate"/>
            </w:r>
            <w:r w:rsidR="00AC071C">
              <w:rPr>
                <w:noProof/>
                <w:webHidden/>
              </w:rPr>
              <w:t>9</w:t>
            </w:r>
            <w:r w:rsidR="00AC071C">
              <w:rPr>
                <w:noProof/>
                <w:webHidden/>
              </w:rPr>
              <w:fldChar w:fldCharType="end"/>
            </w:r>
          </w:hyperlink>
        </w:p>
        <w:p w14:paraId="458DC3F2"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87" w:history="1">
            <w:r w:rsidR="00AC071C" w:rsidRPr="00C7732F">
              <w:rPr>
                <w:rStyle w:val="Hyperlnk"/>
                <w:noProof/>
              </w:rPr>
              <w:t>3.1.2</w:t>
            </w:r>
            <w:r w:rsidR="00AC071C">
              <w:rPr>
                <w:rFonts w:asciiTheme="minorHAnsi" w:eastAsiaTheme="minorEastAsia" w:hAnsiTheme="minorHAnsi" w:cstheme="minorBidi"/>
                <w:noProof/>
                <w:color w:val="auto"/>
                <w:lang w:eastAsia="sv-SE"/>
              </w:rPr>
              <w:tab/>
            </w:r>
            <w:r w:rsidR="00AC071C" w:rsidRPr="00C7732F">
              <w:rPr>
                <w:rStyle w:val="Hyperlnk"/>
                <w:noProof/>
              </w:rPr>
              <w:t>Analys av situationen inom HR-området</w:t>
            </w:r>
            <w:r w:rsidR="00AC071C">
              <w:rPr>
                <w:noProof/>
                <w:webHidden/>
              </w:rPr>
              <w:tab/>
            </w:r>
            <w:r w:rsidR="00AC071C">
              <w:rPr>
                <w:noProof/>
                <w:webHidden/>
              </w:rPr>
              <w:fldChar w:fldCharType="begin"/>
            </w:r>
            <w:r w:rsidR="00AC071C">
              <w:rPr>
                <w:noProof/>
                <w:webHidden/>
              </w:rPr>
              <w:instrText xml:space="preserve"> PAGEREF _Toc132262487 \h </w:instrText>
            </w:r>
            <w:r w:rsidR="00AC071C">
              <w:rPr>
                <w:noProof/>
                <w:webHidden/>
              </w:rPr>
            </w:r>
            <w:r w:rsidR="00AC071C">
              <w:rPr>
                <w:noProof/>
                <w:webHidden/>
              </w:rPr>
              <w:fldChar w:fldCharType="separate"/>
            </w:r>
            <w:r w:rsidR="00AC071C">
              <w:rPr>
                <w:noProof/>
                <w:webHidden/>
              </w:rPr>
              <w:t>9</w:t>
            </w:r>
            <w:r w:rsidR="00AC071C">
              <w:rPr>
                <w:noProof/>
                <w:webHidden/>
              </w:rPr>
              <w:fldChar w:fldCharType="end"/>
            </w:r>
          </w:hyperlink>
        </w:p>
        <w:p w14:paraId="6AA2E817"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88" w:history="1">
            <w:r w:rsidR="00AC071C" w:rsidRPr="00C7732F">
              <w:rPr>
                <w:rStyle w:val="Hyperlnk"/>
                <w:noProof/>
              </w:rPr>
              <w:t>3.1.3</w:t>
            </w:r>
            <w:r w:rsidR="00AC071C">
              <w:rPr>
                <w:rFonts w:asciiTheme="minorHAnsi" w:eastAsiaTheme="minorEastAsia" w:hAnsiTheme="minorHAnsi" w:cstheme="minorBidi"/>
                <w:noProof/>
                <w:color w:val="auto"/>
                <w:lang w:eastAsia="sv-SE"/>
              </w:rPr>
              <w:tab/>
            </w:r>
            <w:r w:rsidR="00AC071C" w:rsidRPr="00C7732F">
              <w:rPr>
                <w:rStyle w:val="Hyperlnk"/>
                <w:noProof/>
              </w:rPr>
              <w:t>Systematiskt arbetsmiljöarbete och aktiva åtgärder</w:t>
            </w:r>
            <w:r w:rsidR="00AC071C">
              <w:rPr>
                <w:noProof/>
                <w:webHidden/>
              </w:rPr>
              <w:tab/>
            </w:r>
            <w:r w:rsidR="00AC071C">
              <w:rPr>
                <w:noProof/>
                <w:webHidden/>
              </w:rPr>
              <w:fldChar w:fldCharType="begin"/>
            </w:r>
            <w:r w:rsidR="00AC071C">
              <w:rPr>
                <w:noProof/>
                <w:webHidden/>
              </w:rPr>
              <w:instrText xml:space="preserve"> PAGEREF _Toc132262488 \h </w:instrText>
            </w:r>
            <w:r w:rsidR="00AC071C">
              <w:rPr>
                <w:noProof/>
                <w:webHidden/>
              </w:rPr>
            </w:r>
            <w:r w:rsidR="00AC071C">
              <w:rPr>
                <w:noProof/>
                <w:webHidden/>
              </w:rPr>
              <w:fldChar w:fldCharType="separate"/>
            </w:r>
            <w:r w:rsidR="00AC071C">
              <w:rPr>
                <w:noProof/>
                <w:webHidden/>
              </w:rPr>
              <w:t>10</w:t>
            </w:r>
            <w:r w:rsidR="00AC071C">
              <w:rPr>
                <w:noProof/>
                <w:webHidden/>
              </w:rPr>
              <w:fldChar w:fldCharType="end"/>
            </w:r>
          </w:hyperlink>
        </w:p>
        <w:p w14:paraId="06AE97A5" w14:textId="77777777" w:rsidR="00AC071C" w:rsidRDefault="00000000">
          <w:pPr>
            <w:pStyle w:val="Innehll2"/>
            <w:rPr>
              <w:rFonts w:asciiTheme="minorHAnsi" w:eastAsiaTheme="minorEastAsia" w:hAnsiTheme="minorHAnsi" w:cstheme="minorBidi"/>
              <w:noProof/>
              <w:color w:val="auto"/>
              <w:lang w:eastAsia="sv-SE"/>
            </w:rPr>
          </w:pPr>
          <w:hyperlink w:anchor="_Toc132262489" w:history="1">
            <w:r w:rsidR="00AC071C" w:rsidRPr="00C7732F">
              <w:rPr>
                <w:rStyle w:val="Hyperlnk"/>
                <w:noProof/>
              </w:rPr>
              <w:t>3.2</w:t>
            </w:r>
            <w:r w:rsidR="00AC071C">
              <w:rPr>
                <w:rFonts w:asciiTheme="minorHAnsi" w:eastAsiaTheme="minorEastAsia" w:hAnsiTheme="minorHAnsi" w:cstheme="minorBidi"/>
                <w:noProof/>
                <w:color w:val="auto"/>
                <w:lang w:eastAsia="sv-SE"/>
              </w:rPr>
              <w:tab/>
            </w:r>
            <w:r w:rsidR="00AC071C" w:rsidRPr="00C7732F">
              <w:rPr>
                <w:rStyle w:val="Hyperlnk"/>
                <w:noProof/>
              </w:rPr>
              <w:t>Ekonomisk uppföljning</w:t>
            </w:r>
            <w:r w:rsidR="00AC071C">
              <w:rPr>
                <w:noProof/>
                <w:webHidden/>
              </w:rPr>
              <w:tab/>
            </w:r>
            <w:r w:rsidR="00AC071C">
              <w:rPr>
                <w:noProof/>
                <w:webHidden/>
              </w:rPr>
              <w:fldChar w:fldCharType="begin"/>
            </w:r>
            <w:r w:rsidR="00AC071C">
              <w:rPr>
                <w:noProof/>
                <w:webHidden/>
              </w:rPr>
              <w:instrText xml:space="preserve"> PAGEREF _Toc132262489 \h </w:instrText>
            </w:r>
            <w:r w:rsidR="00AC071C">
              <w:rPr>
                <w:noProof/>
                <w:webHidden/>
              </w:rPr>
            </w:r>
            <w:r w:rsidR="00AC071C">
              <w:rPr>
                <w:noProof/>
                <w:webHidden/>
              </w:rPr>
              <w:fldChar w:fldCharType="separate"/>
            </w:r>
            <w:r w:rsidR="00AC071C">
              <w:rPr>
                <w:noProof/>
                <w:webHidden/>
              </w:rPr>
              <w:t>10</w:t>
            </w:r>
            <w:r w:rsidR="00AC071C">
              <w:rPr>
                <w:noProof/>
                <w:webHidden/>
              </w:rPr>
              <w:fldChar w:fldCharType="end"/>
            </w:r>
          </w:hyperlink>
        </w:p>
        <w:p w14:paraId="72FC4DE2"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90" w:history="1">
            <w:r w:rsidR="00AC071C" w:rsidRPr="00C7732F">
              <w:rPr>
                <w:rStyle w:val="Hyperlnk"/>
                <w:noProof/>
              </w:rPr>
              <w:t>3.2.1</w:t>
            </w:r>
            <w:r w:rsidR="00AC071C">
              <w:rPr>
                <w:rFonts w:asciiTheme="minorHAnsi" w:eastAsiaTheme="minorEastAsia" w:hAnsiTheme="minorHAnsi" w:cstheme="minorBidi"/>
                <w:noProof/>
                <w:color w:val="auto"/>
                <w:lang w:eastAsia="sv-SE"/>
              </w:rPr>
              <w:tab/>
            </w:r>
            <w:r w:rsidR="00AC071C" w:rsidRPr="00C7732F">
              <w:rPr>
                <w:rStyle w:val="Hyperlnk"/>
                <w:noProof/>
              </w:rPr>
              <w:t>Utfall till och med perioden</w:t>
            </w:r>
            <w:r w:rsidR="00AC071C">
              <w:rPr>
                <w:noProof/>
                <w:webHidden/>
              </w:rPr>
              <w:tab/>
            </w:r>
            <w:r w:rsidR="00AC071C">
              <w:rPr>
                <w:noProof/>
                <w:webHidden/>
              </w:rPr>
              <w:fldChar w:fldCharType="begin"/>
            </w:r>
            <w:r w:rsidR="00AC071C">
              <w:rPr>
                <w:noProof/>
                <w:webHidden/>
              </w:rPr>
              <w:instrText xml:space="preserve"> PAGEREF _Toc132262490 \h </w:instrText>
            </w:r>
            <w:r w:rsidR="00AC071C">
              <w:rPr>
                <w:noProof/>
                <w:webHidden/>
              </w:rPr>
            </w:r>
            <w:r w:rsidR="00AC071C">
              <w:rPr>
                <w:noProof/>
                <w:webHidden/>
              </w:rPr>
              <w:fldChar w:fldCharType="separate"/>
            </w:r>
            <w:r w:rsidR="00AC071C">
              <w:rPr>
                <w:noProof/>
                <w:webHidden/>
              </w:rPr>
              <w:t>11</w:t>
            </w:r>
            <w:r w:rsidR="00AC071C">
              <w:rPr>
                <w:noProof/>
                <w:webHidden/>
              </w:rPr>
              <w:fldChar w:fldCharType="end"/>
            </w:r>
          </w:hyperlink>
        </w:p>
        <w:p w14:paraId="5444D91A"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91" w:history="1">
            <w:r w:rsidR="00AC071C" w:rsidRPr="00C7732F">
              <w:rPr>
                <w:rStyle w:val="Hyperlnk"/>
                <w:noProof/>
              </w:rPr>
              <w:t>3.2.2</w:t>
            </w:r>
            <w:r w:rsidR="00AC071C">
              <w:rPr>
                <w:rFonts w:asciiTheme="minorHAnsi" w:eastAsiaTheme="minorEastAsia" w:hAnsiTheme="minorHAnsi" w:cstheme="minorBidi"/>
                <w:noProof/>
                <w:color w:val="auto"/>
                <w:lang w:eastAsia="sv-SE"/>
              </w:rPr>
              <w:tab/>
            </w:r>
            <w:r w:rsidR="00AC071C" w:rsidRPr="00C7732F">
              <w:rPr>
                <w:rStyle w:val="Hyperlnk"/>
                <w:noProof/>
              </w:rPr>
              <w:t>Prognos</w:t>
            </w:r>
            <w:r w:rsidR="00AC071C">
              <w:rPr>
                <w:noProof/>
                <w:webHidden/>
              </w:rPr>
              <w:tab/>
            </w:r>
            <w:r w:rsidR="00AC071C">
              <w:rPr>
                <w:noProof/>
                <w:webHidden/>
              </w:rPr>
              <w:fldChar w:fldCharType="begin"/>
            </w:r>
            <w:r w:rsidR="00AC071C">
              <w:rPr>
                <w:noProof/>
                <w:webHidden/>
              </w:rPr>
              <w:instrText xml:space="preserve"> PAGEREF _Toc132262491 \h </w:instrText>
            </w:r>
            <w:r w:rsidR="00AC071C">
              <w:rPr>
                <w:noProof/>
                <w:webHidden/>
              </w:rPr>
            </w:r>
            <w:r w:rsidR="00AC071C">
              <w:rPr>
                <w:noProof/>
                <w:webHidden/>
              </w:rPr>
              <w:fldChar w:fldCharType="separate"/>
            </w:r>
            <w:r w:rsidR="00AC071C">
              <w:rPr>
                <w:noProof/>
                <w:webHidden/>
              </w:rPr>
              <w:t>11</w:t>
            </w:r>
            <w:r w:rsidR="00AC071C">
              <w:rPr>
                <w:noProof/>
                <w:webHidden/>
              </w:rPr>
              <w:fldChar w:fldCharType="end"/>
            </w:r>
          </w:hyperlink>
        </w:p>
        <w:p w14:paraId="704999FA"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92" w:history="1">
            <w:r w:rsidR="00AC071C" w:rsidRPr="00C7732F">
              <w:rPr>
                <w:rStyle w:val="Hyperlnk"/>
                <w:noProof/>
              </w:rPr>
              <w:t>3.2.3</w:t>
            </w:r>
            <w:r w:rsidR="00AC071C">
              <w:rPr>
                <w:rFonts w:asciiTheme="minorHAnsi" w:eastAsiaTheme="minorEastAsia" w:hAnsiTheme="minorHAnsi" w:cstheme="minorBidi"/>
                <w:noProof/>
                <w:color w:val="auto"/>
                <w:lang w:eastAsia="sv-SE"/>
              </w:rPr>
              <w:tab/>
            </w:r>
            <w:r w:rsidR="00AC071C" w:rsidRPr="00C7732F">
              <w:rPr>
                <w:rStyle w:val="Hyperlnk"/>
                <w:noProof/>
              </w:rPr>
              <w:t>Resultat per affärsområde/dotterbolag eller motsvarande</w:t>
            </w:r>
            <w:r w:rsidR="00AC071C">
              <w:rPr>
                <w:noProof/>
                <w:webHidden/>
              </w:rPr>
              <w:tab/>
            </w:r>
            <w:r w:rsidR="00AC071C">
              <w:rPr>
                <w:noProof/>
                <w:webHidden/>
              </w:rPr>
              <w:fldChar w:fldCharType="begin"/>
            </w:r>
            <w:r w:rsidR="00AC071C">
              <w:rPr>
                <w:noProof/>
                <w:webHidden/>
              </w:rPr>
              <w:instrText xml:space="preserve"> PAGEREF _Toc132262492 \h </w:instrText>
            </w:r>
            <w:r w:rsidR="00AC071C">
              <w:rPr>
                <w:noProof/>
                <w:webHidden/>
              </w:rPr>
            </w:r>
            <w:r w:rsidR="00AC071C">
              <w:rPr>
                <w:noProof/>
                <w:webHidden/>
              </w:rPr>
              <w:fldChar w:fldCharType="separate"/>
            </w:r>
            <w:r w:rsidR="00AC071C">
              <w:rPr>
                <w:noProof/>
                <w:webHidden/>
              </w:rPr>
              <w:t>12</w:t>
            </w:r>
            <w:r w:rsidR="00AC071C">
              <w:rPr>
                <w:noProof/>
                <w:webHidden/>
              </w:rPr>
              <w:fldChar w:fldCharType="end"/>
            </w:r>
          </w:hyperlink>
        </w:p>
        <w:p w14:paraId="52A4FC5D"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93" w:history="1">
            <w:r w:rsidR="00AC071C" w:rsidRPr="00C7732F">
              <w:rPr>
                <w:rStyle w:val="Hyperlnk"/>
                <w:noProof/>
              </w:rPr>
              <w:t>3.2.4</w:t>
            </w:r>
            <w:r w:rsidR="00AC071C">
              <w:rPr>
                <w:rFonts w:asciiTheme="minorHAnsi" w:eastAsiaTheme="minorEastAsia" w:hAnsiTheme="minorHAnsi" w:cstheme="minorBidi"/>
                <w:noProof/>
                <w:color w:val="auto"/>
                <w:lang w:eastAsia="sv-SE"/>
              </w:rPr>
              <w:tab/>
            </w:r>
            <w:r w:rsidR="00AC071C" w:rsidRPr="00C7732F">
              <w:rPr>
                <w:rStyle w:val="Hyperlnk"/>
                <w:noProof/>
              </w:rPr>
              <w:t>Investeringsredovisning</w:t>
            </w:r>
            <w:r w:rsidR="00AC071C">
              <w:rPr>
                <w:noProof/>
                <w:webHidden/>
              </w:rPr>
              <w:tab/>
            </w:r>
            <w:r w:rsidR="00AC071C">
              <w:rPr>
                <w:noProof/>
                <w:webHidden/>
              </w:rPr>
              <w:fldChar w:fldCharType="begin"/>
            </w:r>
            <w:r w:rsidR="00AC071C">
              <w:rPr>
                <w:noProof/>
                <w:webHidden/>
              </w:rPr>
              <w:instrText xml:space="preserve"> PAGEREF _Toc132262493 \h </w:instrText>
            </w:r>
            <w:r w:rsidR="00AC071C">
              <w:rPr>
                <w:noProof/>
                <w:webHidden/>
              </w:rPr>
            </w:r>
            <w:r w:rsidR="00AC071C">
              <w:rPr>
                <w:noProof/>
                <w:webHidden/>
              </w:rPr>
              <w:fldChar w:fldCharType="separate"/>
            </w:r>
            <w:r w:rsidR="00AC071C">
              <w:rPr>
                <w:noProof/>
                <w:webHidden/>
              </w:rPr>
              <w:t>12</w:t>
            </w:r>
            <w:r w:rsidR="00AC071C">
              <w:rPr>
                <w:noProof/>
                <w:webHidden/>
              </w:rPr>
              <w:fldChar w:fldCharType="end"/>
            </w:r>
          </w:hyperlink>
        </w:p>
        <w:p w14:paraId="1E724F08" w14:textId="77777777" w:rsidR="00AC071C" w:rsidRDefault="00000000">
          <w:pPr>
            <w:pStyle w:val="Innehll2"/>
            <w:rPr>
              <w:rFonts w:asciiTheme="minorHAnsi" w:eastAsiaTheme="minorEastAsia" w:hAnsiTheme="minorHAnsi" w:cstheme="minorBidi"/>
              <w:noProof/>
              <w:color w:val="auto"/>
              <w:lang w:eastAsia="sv-SE"/>
            </w:rPr>
          </w:pPr>
          <w:hyperlink w:anchor="_Toc132262494" w:history="1">
            <w:r w:rsidR="00AC071C" w:rsidRPr="00C7732F">
              <w:rPr>
                <w:rStyle w:val="Hyperlnk"/>
                <w:noProof/>
              </w:rPr>
              <w:t>3.3</w:t>
            </w:r>
            <w:r w:rsidR="00AC071C">
              <w:rPr>
                <w:rFonts w:asciiTheme="minorHAnsi" w:eastAsiaTheme="minorEastAsia" w:hAnsiTheme="minorHAnsi" w:cstheme="minorBidi"/>
                <w:noProof/>
                <w:color w:val="auto"/>
                <w:lang w:eastAsia="sv-SE"/>
              </w:rPr>
              <w:tab/>
            </w:r>
            <w:r w:rsidR="00AC071C" w:rsidRPr="00C7732F">
              <w:rPr>
                <w:rStyle w:val="Hyperlnk"/>
                <w:noProof/>
              </w:rPr>
              <w:t>Uppföljning av särskilda beslut och uppdrag</w:t>
            </w:r>
            <w:r w:rsidR="00AC071C">
              <w:rPr>
                <w:noProof/>
                <w:webHidden/>
              </w:rPr>
              <w:tab/>
            </w:r>
            <w:r w:rsidR="00AC071C">
              <w:rPr>
                <w:noProof/>
                <w:webHidden/>
              </w:rPr>
              <w:fldChar w:fldCharType="begin"/>
            </w:r>
            <w:r w:rsidR="00AC071C">
              <w:rPr>
                <w:noProof/>
                <w:webHidden/>
              </w:rPr>
              <w:instrText xml:space="preserve"> PAGEREF _Toc132262494 \h </w:instrText>
            </w:r>
            <w:r w:rsidR="00AC071C">
              <w:rPr>
                <w:noProof/>
                <w:webHidden/>
              </w:rPr>
            </w:r>
            <w:r w:rsidR="00AC071C">
              <w:rPr>
                <w:noProof/>
                <w:webHidden/>
              </w:rPr>
              <w:fldChar w:fldCharType="separate"/>
            </w:r>
            <w:r w:rsidR="00AC071C">
              <w:rPr>
                <w:noProof/>
                <w:webHidden/>
              </w:rPr>
              <w:t>13</w:t>
            </w:r>
            <w:r w:rsidR="00AC071C">
              <w:rPr>
                <w:noProof/>
                <w:webHidden/>
              </w:rPr>
              <w:fldChar w:fldCharType="end"/>
            </w:r>
          </w:hyperlink>
        </w:p>
        <w:p w14:paraId="224EB82E"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95" w:history="1">
            <w:r w:rsidR="00AC071C" w:rsidRPr="00C7732F">
              <w:rPr>
                <w:rStyle w:val="Hyperlnk"/>
                <w:noProof/>
              </w:rPr>
              <w:t>3.3.1</w:t>
            </w:r>
            <w:r w:rsidR="00AC071C">
              <w:rPr>
                <w:rFonts w:asciiTheme="minorHAnsi" w:eastAsiaTheme="minorEastAsia" w:hAnsiTheme="minorHAnsi" w:cstheme="minorBidi"/>
                <w:noProof/>
                <w:color w:val="auto"/>
                <w:lang w:eastAsia="sv-SE"/>
              </w:rPr>
              <w:tab/>
            </w:r>
            <w:r w:rsidR="00AC071C" w:rsidRPr="00C7732F">
              <w:rPr>
                <w:rStyle w:val="Hyperlnk"/>
                <w:noProof/>
              </w:rPr>
              <w:t>Åtgärder kopplade till energiförsörjningen</w:t>
            </w:r>
            <w:r w:rsidR="00AC071C">
              <w:rPr>
                <w:noProof/>
                <w:webHidden/>
              </w:rPr>
              <w:tab/>
            </w:r>
            <w:r w:rsidR="00AC071C">
              <w:rPr>
                <w:noProof/>
                <w:webHidden/>
              </w:rPr>
              <w:fldChar w:fldCharType="begin"/>
            </w:r>
            <w:r w:rsidR="00AC071C">
              <w:rPr>
                <w:noProof/>
                <w:webHidden/>
              </w:rPr>
              <w:instrText xml:space="preserve"> PAGEREF _Toc132262495 \h </w:instrText>
            </w:r>
            <w:r w:rsidR="00AC071C">
              <w:rPr>
                <w:noProof/>
                <w:webHidden/>
              </w:rPr>
            </w:r>
            <w:r w:rsidR="00AC071C">
              <w:rPr>
                <w:noProof/>
                <w:webHidden/>
              </w:rPr>
              <w:fldChar w:fldCharType="separate"/>
            </w:r>
            <w:r w:rsidR="00AC071C">
              <w:rPr>
                <w:noProof/>
                <w:webHidden/>
              </w:rPr>
              <w:t>13</w:t>
            </w:r>
            <w:r w:rsidR="00AC071C">
              <w:rPr>
                <w:noProof/>
                <w:webHidden/>
              </w:rPr>
              <w:fldChar w:fldCharType="end"/>
            </w:r>
          </w:hyperlink>
        </w:p>
        <w:p w14:paraId="40FC811F" w14:textId="77777777" w:rsidR="00AC071C" w:rsidRDefault="00000000">
          <w:pPr>
            <w:pStyle w:val="Innehll3"/>
            <w:tabs>
              <w:tab w:val="left" w:pos="1560"/>
            </w:tabs>
            <w:rPr>
              <w:rFonts w:asciiTheme="minorHAnsi" w:eastAsiaTheme="minorEastAsia" w:hAnsiTheme="minorHAnsi" w:cstheme="minorBidi"/>
              <w:noProof/>
              <w:color w:val="auto"/>
              <w:lang w:eastAsia="sv-SE"/>
            </w:rPr>
          </w:pPr>
          <w:hyperlink w:anchor="_Toc132262496" w:history="1">
            <w:r w:rsidR="00AC071C" w:rsidRPr="00C7732F">
              <w:rPr>
                <w:rStyle w:val="Hyperlnk"/>
                <w:noProof/>
              </w:rPr>
              <w:t>3.3.2</w:t>
            </w:r>
            <w:r w:rsidR="00AC071C">
              <w:rPr>
                <w:rFonts w:asciiTheme="minorHAnsi" w:eastAsiaTheme="minorEastAsia" w:hAnsiTheme="minorHAnsi" w:cstheme="minorBidi"/>
                <w:noProof/>
                <w:color w:val="auto"/>
                <w:lang w:eastAsia="sv-SE"/>
              </w:rPr>
              <w:tab/>
            </w:r>
            <w:r w:rsidR="00AC071C" w:rsidRPr="00C7732F">
              <w:rPr>
                <w:rStyle w:val="Hyperlnk"/>
                <w:noProof/>
              </w:rPr>
              <w:t>Övriga beslut och/eller uppdrag</w:t>
            </w:r>
            <w:r w:rsidR="00AC071C">
              <w:rPr>
                <w:noProof/>
                <w:webHidden/>
              </w:rPr>
              <w:tab/>
            </w:r>
            <w:r w:rsidR="00AC071C">
              <w:rPr>
                <w:noProof/>
                <w:webHidden/>
              </w:rPr>
              <w:fldChar w:fldCharType="begin"/>
            </w:r>
            <w:r w:rsidR="00AC071C">
              <w:rPr>
                <w:noProof/>
                <w:webHidden/>
              </w:rPr>
              <w:instrText xml:space="preserve"> PAGEREF _Toc132262496 \h </w:instrText>
            </w:r>
            <w:r w:rsidR="00AC071C">
              <w:rPr>
                <w:noProof/>
                <w:webHidden/>
              </w:rPr>
            </w:r>
            <w:r w:rsidR="00AC071C">
              <w:rPr>
                <w:noProof/>
                <w:webHidden/>
              </w:rPr>
              <w:fldChar w:fldCharType="separate"/>
            </w:r>
            <w:r w:rsidR="00AC071C">
              <w:rPr>
                <w:noProof/>
                <w:webHidden/>
              </w:rPr>
              <w:t>14</w:t>
            </w:r>
            <w:r w:rsidR="00AC071C">
              <w:rPr>
                <w:noProof/>
                <w:webHidden/>
              </w:rPr>
              <w:fldChar w:fldCharType="end"/>
            </w:r>
          </w:hyperlink>
        </w:p>
        <w:p w14:paraId="31F255E2" w14:textId="77777777" w:rsidR="00AC071C" w:rsidRDefault="00000000">
          <w:pPr>
            <w:pStyle w:val="Innehll1"/>
            <w:rPr>
              <w:rFonts w:asciiTheme="minorHAnsi" w:hAnsiTheme="minorHAnsi"/>
              <w:b w:val="0"/>
              <w:bCs w:val="0"/>
              <w:noProof/>
              <w:color w:val="auto"/>
              <w:lang w:eastAsia="sv-SE"/>
            </w:rPr>
          </w:pPr>
          <w:hyperlink w:anchor="_Toc132262497" w:history="1">
            <w:r w:rsidR="00AC071C" w:rsidRPr="00C7732F">
              <w:rPr>
                <w:rStyle w:val="Hyperlnk"/>
                <w:noProof/>
              </w:rPr>
              <w:t>4</w:t>
            </w:r>
            <w:r w:rsidR="00AC071C">
              <w:rPr>
                <w:rFonts w:asciiTheme="minorHAnsi" w:hAnsiTheme="minorHAnsi"/>
                <w:b w:val="0"/>
                <w:bCs w:val="0"/>
                <w:noProof/>
                <w:color w:val="auto"/>
                <w:lang w:eastAsia="sv-SE"/>
              </w:rPr>
              <w:tab/>
            </w:r>
            <w:r w:rsidR="00AC071C" w:rsidRPr="00C7732F">
              <w:rPr>
                <w:rStyle w:val="Hyperlnk"/>
                <w:noProof/>
              </w:rPr>
              <w:t>Uppföljning till Göteborgs Stadshus AB</w:t>
            </w:r>
            <w:r w:rsidR="00AC071C">
              <w:rPr>
                <w:noProof/>
                <w:webHidden/>
              </w:rPr>
              <w:tab/>
            </w:r>
            <w:r w:rsidR="00AC071C">
              <w:rPr>
                <w:noProof/>
                <w:webHidden/>
              </w:rPr>
              <w:fldChar w:fldCharType="begin"/>
            </w:r>
            <w:r w:rsidR="00AC071C">
              <w:rPr>
                <w:noProof/>
                <w:webHidden/>
              </w:rPr>
              <w:instrText xml:space="preserve"> PAGEREF _Toc132262497 \h </w:instrText>
            </w:r>
            <w:r w:rsidR="00AC071C">
              <w:rPr>
                <w:noProof/>
                <w:webHidden/>
              </w:rPr>
            </w:r>
            <w:r w:rsidR="00AC071C">
              <w:rPr>
                <w:noProof/>
                <w:webHidden/>
              </w:rPr>
              <w:fldChar w:fldCharType="separate"/>
            </w:r>
            <w:r w:rsidR="00AC071C">
              <w:rPr>
                <w:noProof/>
                <w:webHidden/>
              </w:rPr>
              <w:t>15</w:t>
            </w:r>
            <w:r w:rsidR="00AC071C">
              <w:rPr>
                <w:noProof/>
                <w:webHidden/>
              </w:rPr>
              <w:fldChar w:fldCharType="end"/>
            </w:r>
          </w:hyperlink>
        </w:p>
        <w:p w14:paraId="38D58DDA" w14:textId="77777777" w:rsidR="00AC071C" w:rsidRDefault="00000000">
          <w:pPr>
            <w:pStyle w:val="Innehll2"/>
            <w:rPr>
              <w:rFonts w:asciiTheme="minorHAnsi" w:eastAsiaTheme="minorEastAsia" w:hAnsiTheme="minorHAnsi" w:cstheme="minorBidi"/>
              <w:noProof/>
              <w:color w:val="auto"/>
              <w:lang w:eastAsia="sv-SE"/>
            </w:rPr>
          </w:pPr>
          <w:hyperlink w:anchor="_Toc132262498" w:history="1">
            <w:r w:rsidR="00AC071C" w:rsidRPr="00C7732F">
              <w:rPr>
                <w:rStyle w:val="Hyperlnk"/>
                <w:noProof/>
              </w:rPr>
              <w:t>4.1</w:t>
            </w:r>
            <w:r w:rsidR="00AC071C">
              <w:rPr>
                <w:rFonts w:asciiTheme="minorHAnsi" w:eastAsiaTheme="minorEastAsia" w:hAnsiTheme="minorHAnsi" w:cstheme="minorBidi"/>
                <w:noProof/>
                <w:color w:val="auto"/>
                <w:lang w:eastAsia="sv-SE"/>
              </w:rPr>
              <w:tab/>
            </w:r>
            <w:r w:rsidR="00AC071C" w:rsidRPr="00C7732F">
              <w:rPr>
                <w:rStyle w:val="Hyperlnk"/>
                <w:noProof/>
              </w:rPr>
              <w:t>Uppföljning av bolagsstyrelsens utvärdering av eget arbete</w:t>
            </w:r>
            <w:r w:rsidR="00AC071C">
              <w:rPr>
                <w:noProof/>
                <w:webHidden/>
              </w:rPr>
              <w:tab/>
            </w:r>
            <w:r w:rsidR="00AC071C">
              <w:rPr>
                <w:noProof/>
                <w:webHidden/>
              </w:rPr>
              <w:fldChar w:fldCharType="begin"/>
            </w:r>
            <w:r w:rsidR="00AC071C">
              <w:rPr>
                <w:noProof/>
                <w:webHidden/>
              </w:rPr>
              <w:instrText xml:space="preserve"> PAGEREF _Toc132262498 \h </w:instrText>
            </w:r>
            <w:r w:rsidR="00AC071C">
              <w:rPr>
                <w:noProof/>
                <w:webHidden/>
              </w:rPr>
            </w:r>
            <w:r w:rsidR="00AC071C">
              <w:rPr>
                <w:noProof/>
                <w:webHidden/>
              </w:rPr>
              <w:fldChar w:fldCharType="separate"/>
            </w:r>
            <w:r w:rsidR="00AC071C">
              <w:rPr>
                <w:noProof/>
                <w:webHidden/>
              </w:rPr>
              <w:t>15</w:t>
            </w:r>
            <w:r w:rsidR="00AC071C">
              <w:rPr>
                <w:noProof/>
                <w:webHidden/>
              </w:rPr>
              <w:fldChar w:fldCharType="end"/>
            </w:r>
          </w:hyperlink>
        </w:p>
        <w:p w14:paraId="73AFBA5C" w14:textId="77777777" w:rsidR="00AC071C" w:rsidRDefault="00000000">
          <w:pPr>
            <w:pStyle w:val="Innehll2"/>
            <w:rPr>
              <w:rFonts w:asciiTheme="minorHAnsi" w:eastAsiaTheme="minorEastAsia" w:hAnsiTheme="minorHAnsi" w:cstheme="minorBidi"/>
              <w:noProof/>
              <w:color w:val="auto"/>
              <w:lang w:eastAsia="sv-SE"/>
            </w:rPr>
          </w:pPr>
          <w:hyperlink w:anchor="_Toc132262499" w:history="1">
            <w:r w:rsidR="00AC071C" w:rsidRPr="00C7732F">
              <w:rPr>
                <w:rStyle w:val="Hyperlnk"/>
                <w:noProof/>
              </w:rPr>
              <w:t>4.2</w:t>
            </w:r>
            <w:r w:rsidR="00AC071C">
              <w:rPr>
                <w:rFonts w:asciiTheme="minorHAnsi" w:eastAsiaTheme="minorEastAsia" w:hAnsiTheme="minorHAnsi" w:cstheme="minorBidi"/>
                <w:noProof/>
                <w:color w:val="auto"/>
                <w:lang w:eastAsia="sv-SE"/>
              </w:rPr>
              <w:tab/>
            </w:r>
            <w:r w:rsidR="00AC071C" w:rsidRPr="00C7732F">
              <w:rPr>
                <w:rStyle w:val="Hyperlnk"/>
                <w:noProof/>
              </w:rPr>
              <w:t>Uppföljning av kassaflöde, lån och realisationsresultat</w:t>
            </w:r>
            <w:r w:rsidR="00AC071C">
              <w:rPr>
                <w:noProof/>
                <w:webHidden/>
              </w:rPr>
              <w:tab/>
            </w:r>
            <w:r w:rsidR="00AC071C">
              <w:rPr>
                <w:noProof/>
                <w:webHidden/>
              </w:rPr>
              <w:fldChar w:fldCharType="begin"/>
            </w:r>
            <w:r w:rsidR="00AC071C">
              <w:rPr>
                <w:noProof/>
                <w:webHidden/>
              </w:rPr>
              <w:instrText xml:space="preserve"> PAGEREF _Toc132262499 \h </w:instrText>
            </w:r>
            <w:r w:rsidR="00AC071C">
              <w:rPr>
                <w:noProof/>
                <w:webHidden/>
              </w:rPr>
            </w:r>
            <w:r w:rsidR="00AC071C">
              <w:rPr>
                <w:noProof/>
                <w:webHidden/>
              </w:rPr>
              <w:fldChar w:fldCharType="separate"/>
            </w:r>
            <w:r w:rsidR="00AC071C">
              <w:rPr>
                <w:noProof/>
                <w:webHidden/>
              </w:rPr>
              <w:t>15</w:t>
            </w:r>
            <w:r w:rsidR="00AC071C">
              <w:rPr>
                <w:noProof/>
                <w:webHidden/>
              </w:rPr>
              <w:fldChar w:fldCharType="end"/>
            </w:r>
          </w:hyperlink>
        </w:p>
        <w:p w14:paraId="378D5747" w14:textId="77777777" w:rsidR="00AC071C" w:rsidRDefault="00000000">
          <w:pPr>
            <w:pStyle w:val="Innehll1"/>
            <w:rPr>
              <w:rFonts w:asciiTheme="minorHAnsi" w:hAnsiTheme="minorHAnsi"/>
              <w:b w:val="0"/>
              <w:bCs w:val="0"/>
              <w:noProof/>
              <w:color w:val="auto"/>
              <w:lang w:eastAsia="sv-SE"/>
            </w:rPr>
          </w:pPr>
          <w:hyperlink w:anchor="_Toc132262500" w:history="1">
            <w:r w:rsidR="00AC071C" w:rsidRPr="00C7732F">
              <w:rPr>
                <w:rStyle w:val="Hyperlnk"/>
                <w:noProof/>
              </w:rPr>
              <w:t>5</w:t>
            </w:r>
            <w:r w:rsidR="00AC071C">
              <w:rPr>
                <w:rFonts w:asciiTheme="minorHAnsi" w:hAnsiTheme="minorHAnsi"/>
                <w:b w:val="0"/>
                <w:bCs w:val="0"/>
                <w:noProof/>
                <w:color w:val="auto"/>
                <w:lang w:eastAsia="sv-SE"/>
              </w:rPr>
              <w:tab/>
            </w:r>
            <w:r w:rsidR="00AC071C" w:rsidRPr="00C7732F">
              <w:rPr>
                <w:rStyle w:val="Hyperlnk"/>
                <w:noProof/>
              </w:rPr>
              <w:t>Styrinformation till styrelsen</w:t>
            </w:r>
            <w:r w:rsidR="00AC071C">
              <w:rPr>
                <w:noProof/>
                <w:webHidden/>
              </w:rPr>
              <w:tab/>
            </w:r>
            <w:r w:rsidR="00AC071C">
              <w:rPr>
                <w:noProof/>
                <w:webHidden/>
              </w:rPr>
              <w:fldChar w:fldCharType="begin"/>
            </w:r>
            <w:r w:rsidR="00AC071C">
              <w:rPr>
                <w:noProof/>
                <w:webHidden/>
              </w:rPr>
              <w:instrText xml:space="preserve"> PAGEREF _Toc132262500 \h </w:instrText>
            </w:r>
            <w:r w:rsidR="00AC071C">
              <w:rPr>
                <w:noProof/>
                <w:webHidden/>
              </w:rPr>
            </w:r>
            <w:r w:rsidR="00AC071C">
              <w:rPr>
                <w:noProof/>
                <w:webHidden/>
              </w:rPr>
              <w:fldChar w:fldCharType="separate"/>
            </w:r>
            <w:r w:rsidR="00AC071C">
              <w:rPr>
                <w:noProof/>
                <w:webHidden/>
              </w:rPr>
              <w:t>16</w:t>
            </w:r>
            <w:r w:rsidR="00AC071C">
              <w:rPr>
                <w:noProof/>
                <w:webHidden/>
              </w:rPr>
              <w:fldChar w:fldCharType="end"/>
            </w:r>
          </w:hyperlink>
        </w:p>
        <w:p w14:paraId="445A225F" w14:textId="77777777" w:rsidR="00CF1029" w:rsidRDefault="00823AFE">
          <w:r>
            <w:fldChar w:fldCharType="end"/>
          </w:r>
        </w:p>
      </w:sdtContent>
    </w:sdt>
    <w:p w14:paraId="50E57FB6" w14:textId="77777777" w:rsidR="00CF1029" w:rsidRDefault="00823AFE">
      <w:r>
        <w:br w:type="page"/>
      </w:r>
    </w:p>
    <w:p w14:paraId="0F6143DC" w14:textId="77777777" w:rsidR="00CF1029" w:rsidRDefault="00823AFE">
      <w:pPr>
        <w:pStyle w:val="Rubrik1-Sidbryt"/>
      </w:pPr>
      <w:bookmarkStart w:id="0" w:name="_Toc132262476"/>
      <w:r>
        <w:lastRenderedPageBreak/>
        <w:t>Sammanfattning</w:t>
      </w:r>
      <w:bookmarkEnd w:id="0"/>
    </w:p>
    <w:p w14:paraId="21750120" w14:textId="77777777" w:rsidR="00CF1029" w:rsidRDefault="00823AFE">
      <w:pPr>
        <w:pStyle w:val="BodyText"/>
        <w:widowControl w:val="0"/>
      </w:pPr>
      <w:r>
        <w:t>Göteborgs Spårvägar AB (GS) är en del av stadens varumärke. Bolaget ägs av Göteborgs Stads Kollektivtrafik AB (85 procent) och av Västtrafik AB (15 procent). Göteborgs Stad är administrativ huvudman och äger spårvägsbanan med tillhörande trafikmiljö. Västtrafik är finansiell huvudman och ansvarig för trafikeringsplan, spårvagnsfordon och depåfastigheter.</w:t>
      </w:r>
    </w:p>
    <w:p w14:paraId="20B8F6ED" w14:textId="77777777" w:rsidR="00CF1029" w:rsidRDefault="00823AFE">
      <w:pPr>
        <w:pStyle w:val="BodyText"/>
        <w:widowControl w:val="0"/>
      </w:pPr>
      <w:r>
        <w:t>Med cirka 1 300 medarbetare och 223 spårvagnar erbjuder GS persontransporter inom kollektivtrafikområdet och spårvagnsresan är vår kärnverksamhet där vi tillsammans arbetar för fler och nöjdare resenärer. Tillhörande produkterbjudanden är tidtabell, bana, fordon och service.</w:t>
      </w:r>
    </w:p>
    <w:p w14:paraId="72E5B4D1" w14:textId="77777777" w:rsidR="00CF1029" w:rsidRDefault="00823AFE">
      <w:pPr>
        <w:pStyle w:val="BodyText"/>
        <w:widowControl w:val="0"/>
      </w:pPr>
      <w:r>
        <w:rPr>
          <w:b/>
        </w:rPr>
        <w:t>Leveranserna försämrades under kvartal 1 jämfört med 2022</w:t>
      </w:r>
    </w:p>
    <w:p w14:paraId="7156A425" w14:textId="77777777" w:rsidR="00CF1029" w:rsidRDefault="00823AFE">
      <w:pPr>
        <w:pStyle w:val="BodyText"/>
        <w:widowControl w:val="0"/>
      </w:pPr>
      <w:r>
        <w:t>Under 2022 var genomsnittet för vår trafikservicegrad 95 procent. Orsakerna till störda/inställda turer ändrades under året. De externa orsakerna ökade, vilket gör att interna åtgärder inte gör stort utslag på totalen. Det finns en stark koppling till trafikmiljön i Göteborg med byggnationen av exempelvis Västlänken samt en stor ökning av resande efter pandemin. De största orsakerna var trafikstockningar, fordonsförsening, hinder i spåret samt broöppning. Det senare härleds till den nya Hisingsbron. Om vi räknar bort externa orsaker har genomsnittet för trafikservicegraden ökat från 95 procent till 97,5 procent tack vare interna förbättringsåtgärder.</w:t>
      </w:r>
    </w:p>
    <w:p w14:paraId="23E400C6" w14:textId="77777777" w:rsidR="00CF1029" w:rsidRDefault="00823AFE">
      <w:pPr>
        <w:pStyle w:val="BodyText"/>
        <w:widowControl w:val="0"/>
      </w:pPr>
      <w:r>
        <w:t xml:space="preserve">Under kvartal 1 2023 var genomsnittet för vår trafikservicegrad mycket låga 92,05 procent samt punktligheten var mycket låga 70,96 procent. Främst de externa orsakerna har ökat inom områdena trafikstockningar, fordonsförseningar, evenemang, hinder i banan, broöppning samt hastighetsreduceringar </w:t>
      </w:r>
      <w:proofErr w:type="spellStart"/>
      <w:r>
        <w:t>pga</w:t>
      </w:r>
      <w:proofErr w:type="spellEnd"/>
      <w:r>
        <w:t xml:space="preserve"> problem med rälssprickor. Denna negativa utveckling bedöms allvarligt påverka resenärs- och medarbetarnöjdheten under en längre tid då förbättringar av trafikmiljön och spårvägsanläggningens kvalitet tar lång tid att åtgärda.</w:t>
      </w:r>
    </w:p>
    <w:p w14:paraId="7CFE83F8" w14:textId="77777777" w:rsidR="00CF1029" w:rsidRDefault="00823AFE">
      <w:pPr>
        <w:pStyle w:val="BodyText"/>
        <w:widowControl w:val="0"/>
      </w:pPr>
      <w:r>
        <w:rPr>
          <w:b/>
        </w:rPr>
        <w:t>Resandet ökar trots färre fordon</w:t>
      </w:r>
    </w:p>
    <w:p w14:paraId="4B19AB57" w14:textId="77777777" w:rsidR="00CF1029" w:rsidRDefault="00823AFE">
      <w:pPr>
        <w:pStyle w:val="BodyText"/>
        <w:widowControl w:val="0"/>
      </w:pPr>
      <w:r>
        <w:t>Under 2022 blev resultatet 119 miljoner delresor.</w:t>
      </w:r>
    </w:p>
    <w:p w14:paraId="32CF1853" w14:textId="77777777" w:rsidR="00CF1029" w:rsidRDefault="00823AFE">
      <w:pPr>
        <w:pStyle w:val="BodyText"/>
        <w:widowControl w:val="0"/>
      </w:pPr>
      <w:r>
        <w:t>Under kvartal 1 2023 har resandet återhämtat sig starkt i spårvägstrafiken och är endast 8,2 procentenheter ifrån resandenivåerna under rekordåret 2019. Speciellt mars månad utmärkte sig och var endast 4 procentenheter ifrån resandenivåerna under 2019.</w:t>
      </w:r>
    </w:p>
    <w:p w14:paraId="4DE4FB52" w14:textId="77777777" w:rsidR="00CF1029" w:rsidRDefault="00823AFE">
      <w:pPr>
        <w:pStyle w:val="BodyText"/>
        <w:widowControl w:val="0"/>
      </w:pPr>
      <w:r>
        <w:t>Spårvägstrafiken är det trafikslag i Västra Götalandsregionen som återhämtar sig snabbast och kommer att ha en fortsatt positiv utveckling i det fall fordonsanskaffningen sker enligt plan och om trafikmiljön åtgärdas. Utvecklingen mot 2023 års mål på 134 miljoner delresor bedöms som svårt men möjligt att uppnå.</w:t>
      </w:r>
    </w:p>
    <w:p w14:paraId="648A6A74" w14:textId="77777777" w:rsidR="00CF1029" w:rsidRDefault="00823AFE">
      <w:pPr>
        <w:pStyle w:val="BodyText"/>
        <w:widowControl w:val="0"/>
      </w:pPr>
      <w:r>
        <w:rPr>
          <w:b/>
        </w:rPr>
        <w:t>Nya spårvagnar och ny depå</w:t>
      </w:r>
    </w:p>
    <w:p w14:paraId="2D22D309" w14:textId="77777777" w:rsidR="00CF1029" w:rsidRDefault="00823AFE">
      <w:pPr>
        <w:pStyle w:val="BodyText"/>
        <w:widowControl w:val="0"/>
      </w:pPr>
      <w:r>
        <w:t xml:space="preserve">Vid utgången av kvartal 1 2023 hade 30 nya M33-spårvagnar levererats och under 2023 kommer ytterligare 10. Planeringen har fortsatt för leveranser av 60 M34-spårvagnar mellan 2024 och 2027 samt öppningen av etapp två på nya </w:t>
      </w:r>
      <w:proofErr w:type="spellStart"/>
      <w:r>
        <w:t>Ringödepån</w:t>
      </w:r>
      <w:proofErr w:type="spellEnd"/>
      <w:r>
        <w:t xml:space="preserve"> 2024.</w:t>
      </w:r>
    </w:p>
    <w:p w14:paraId="2C06D384" w14:textId="77777777" w:rsidR="00CF1029" w:rsidRDefault="00823AFE">
      <w:pPr>
        <w:pStyle w:val="BodyText"/>
        <w:widowControl w:val="0"/>
      </w:pPr>
      <w:r>
        <w:t>Olika moderniseringar av spårvagnstyperna M31 och M32 har också genomförts samt etableringen av dessa fordons nya skyltsystem fortskrider enligt plan med slutgiltig leverans i augusti 2023.</w:t>
      </w:r>
    </w:p>
    <w:p w14:paraId="1CED413A" w14:textId="77777777" w:rsidR="00CF1029" w:rsidRDefault="00823AFE">
      <w:pPr>
        <w:pStyle w:val="Rubrik1-Sidbryt"/>
      </w:pPr>
      <w:bookmarkStart w:id="1" w:name="_Toc132262477"/>
      <w:r>
        <w:lastRenderedPageBreak/>
        <w:t>Väsentlig styrinformation till kommunstyrelsen</w:t>
      </w:r>
      <w:bookmarkEnd w:id="1"/>
    </w:p>
    <w:p w14:paraId="54EC127B" w14:textId="77777777" w:rsidR="00CF1029" w:rsidRDefault="00823AFE">
      <w:pPr>
        <w:pStyle w:val="Rubrik2"/>
      </w:pPr>
      <w:bookmarkStart w:id="2" w:name="_Toc132262478"/>
      <w:r>
        <w:t>Verksamhetens utveckling</w:t>
      </w:r>
      <w:bookmarkEnd w:id="2"/>
    </w:p>
    <w:p w14:paraId="7F8DCC4D" w14:textId="77777777" w:rsidR="00CF1029" w:rsidRDefault="00823AFE">
      <w:pPr>
        <w:pStyle w:val="Rubrik3"/>
      </w:pPr>
      <w:bookmarkStart w:id="3" w:name="_Toc132262479"/>
      <w:r>
        <w:t>Mått/nyckeltal som beskriver verksamhetens utveckling</w:t>
      </w:r>
      <w:bookmarkEnd w:id="3"/>
    </w:p>
    <w:p w14:paraId="7DE39B15" w14:textId="77777777" w:rsidR="00CF1029" w:rsidRDefault="00823AFE">
      <w:pPr>
        <w:pStyle w:val="Tabellrubrik"/>
      </w:pPr>
      <w:r>
        <w:t>Effektmått och övriga mått/nyckeltal</w:t>
      </w:r>
    </w:p>
    <w:tbl>
      <w:tblPr>
        <w:tblStyle w:val="Tabellrutnt"/>
        <w:tblOverlap w:val="never"/>
        <w:tblW w:w="0" w:type="auto"/>
        <w:tblLayout w:type="fixed"/>
        <w:tblLook w:val="04A0" w:firstRow="1" w:lastRow="0" w:firstColumn="1" w:lastColumn="0" w:noHBand="0" w:noVBand="1"/>
      </w:tblPr>
      <w:tblGrid>
        <w:gridCol w:w="2381"/>
        <w:gridCol w:w="1247"/>
        <w:gridCol w:w="1247"/>
        <w:gridCol w:w="1247"/>
        <w:gridCol w:w="1247"/>
      </w:tblGrid>
      <w:tr w:rsidR="00CF1029" w14:paraId="467BD60E" w14:textId="77777777">
        <w:trPr>
          <w:cantSplit w:val="0"/>
        </w:trPr>
        <w:tc>
          <w:tcPr>
            <w:tcW w:w="2381" w:type="dxa"/>
            <w:tcBorders>
              <w:top w:val="single" w:sz="4" w:space="0" w:color="auto"/>
              <w:left w:val="single" w:sz="4" w:space="0" w:color="auto"/>
              <w:bottom w:val="single" w:sz="18" w:space="0" w:color="auto"/>
              <w:right w:val="single" w:sz="4" w:space="0" w:color="auto"/>
            </w:tcBorders>
            <w:shd w:val="clear" w:color="auto" w:fill="E5E5E5"/>
            <w:vAlign w:val="center"/>
          </w:tcPr>
          <w:p w14:paraId="1FC1713D" w14:textId="77777777" w:rsidR="00CF1029" w:rsidRDefault="00823AFE">
            <w:pPr>
              <w:pStyle w:val="Tabellcell"/>
            </w:pPr>
            <w:r>
              <w:rPr>
                <w:b/>
              </w:rPr>
              <w:t>Mått/nyckeltal</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5B21E755" w14:textId="77777777" w:rsidR="00CF1029" w:rsidRDefault="00823AFE">
            <w:pPr>
              <w:pStyle w:val="Tabellcell"/>
              <w:jc w:val="center"/>
            </w:pPr>
            <w:r>
              <w:rPr>
                <w:b/>
              </w:rPr>
              <w:t>Utfall 2021</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3EB48E3B" w14:textId="77777777" w:rsidR="00CF1029" w:rsidRDefault="00823AFE">
            <w:pPr>
              <w:pStyle w:val="Tabellcell"/>
              <w:jc w:val="center"/>
            </w:pPr>
            <w:r>
              <w:rPr>
                <w:b/>
              </w:rPr>
              <w:t>Utfall 2022</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2FC14BEB" w14:textId="77777777" w:rsidR="00CF1029" w:rsidRDefault="00823AFE">
            <w:pPr>
              <w:pStyle w:val="Tabellcell"/>
              <w:jc w:val="center"/>
            </w:pPr>
            <w:r>
              <w:rPr>
                <w:b/>
              </w:rPr>
              <w:t>Utfall perioden 2023</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258A5216" w14:textId="77777777" w:rsidR="00CF1029" w:rsidRDefault="00823AFE">
            <w:pPr>
              <w:pStyle w:val="Tabellcell"/>
              <w:jc w:val="center"/>
            </w:pPr>
            <w:r>
              <w:rPr>
                <w:b/>
              </w:rPr>
              <w:t>Prognos helår 2023</w:t>
            </w:r>
          </w:p>
        </w:tc>
      </w:tr>
      <w:tr w:rsidR="00CF1029" w14:paraId="32914F10" w14:textId="77777777">
        <w:trPr>
          <w:cantSplit w:val="0"/>
        </w:trPr>
        <w:tc>
          <w:tcPr>
            <w:tcW w:w="2381" w:type="dxa"/>
            <w:tcBorders>
              <w:top w:val="single" w:sz="18" w:space="0" w:color="auto"/>
              <w:left w:val="single" w:sz="4" w:space="0" w:color="auto"/>
              <w:bottom w:val="single" w:sz="4" w:space="0" w:color="auto"/>
              <w:right w:val="single" w:sz="4" w:space="0" w:color="auto"/>
            </w:tcBorders>
            <w:shd w:val="clear" w:color="auto" w:fill="FFFFFF"/>
            <w:vAlign w:val="center"/>
          </w:tcPr>
          <w:p w14:paraId="17CFBC8B" w14:textId="77777777" w:rsidR="00CF1029" w:rsidRDefault="00823AFE">
            <w:pPr>
              <w:pStyle w:val="Tabellcell"/>
            </w:pPr>
            <w:r>
              <w:t>1.Vägtrafikolyckor, per 1 miljon km</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1780D1BA" w14:textId="77777777" w:rsidR="00CF1029" w:rsidRDefault="00823AFE">
            <w:pPr>
              <w:pStyle w:val="Tabellcell"/>
              <w:jc w:val="right"/>
            </w:pPr>
            <w:r>
              <w:t>15,98</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43FA8D02" w14:textId="77777777" w:rsidR="00CF1029" w:rsidRDefault="00823AFE">
            <w:pPr>
              <w:pStyle w:val="Tabellcell"/>
              <w:jc w:val="right"/>
            </w:pPr>
            <w:r>
              <w:t>10,59</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7E0067A8" w14:textId="77777777" w:rsidR="00CF1029" w:rsidRDefault="00823AFE">
            <w:pPr>
              <w:pStyle w:val="Tabellcell"/>
              <w:jc w:val="right"/>
            </w:pPr>
            <w:r>
              <w:t>19,17</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70958161" w14:textId="77777777" w:rsidR="00CF1029" w:rsidRDefault="00823AFE">
            <w:pPr>
              <w:pStyle w:val="Tabellcell"/>
              <w:jc w:val="right"/>
            </w:pPr>
            <w:r>
              <w:t>17,0</w:t>
            </w:r>
          </w:p>
        </w:tc>
      </w:tr>
      <w:tr w:rsidR="00CF1029" w14:paraId="4B12EC12"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tcPr>
          <w:p w14:paraId="0B92F727" w14:textId="77777777" w:rsidR="00CF1029" w:rsidRDefault="00823AFE">
            <w:pPr>
              <w:pStyle w:val="Tabellcell"/>
            </w:pPr>
            <w:r>
              <w:t xml:space="preserve">2. Spårvagnstillgänglighet, %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20203A95" w14:textId="77777777" w:rsidR="00CF1029" w:rsidRDefault="00823AFE">
            <w:pPr>
              <w:pStyle w:val="Tabellcell"/>
              <w:jc w:val="right"/>
            </w:pPr>
            <w:r>
              <w:t>82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F742E70" w14:textId="77777777" w:rsidR="00CF1029" w:rsidRDefault="00823AFE">
            <w:pPr>
              <w:pStyle w:val="Tabellcell"/>
              <w:jc w:val="right"/>
            </w:pPr>
            <w:r>
              <w:t>80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77263D06" w14:textId="77777777" w:rsidR="00CF1029" w:rsidRDefault="00823AFE">
            <w:pPr>
              <w:pStyle w:val="Tabellcell"/>
              <w:jc w:val="right"/>
            </w:pPr>
            <w:r>
              <w:t>80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100142E" w14:textId="77777777" w:rsidR="00CF1029" w:rsidRDefault="00823AFE">
            <w:pPr>
              <w:pStyle w:val="Tabellcell"/>
              <w:jc w:val="right"/>
            </w:pPr>
            <w:r>
              <w:t>80</w:t>
            </w:r>
          </w:p>
        </w:tc>
      </w:tr>
      <w:tr w:rsidR="00CF1029" w14:paraId="65B0B810"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tcPr>
          <w:p w14:paraId="2FF753B2" w14:textId="77777777" w:rsidR="00CF1029" w:rsidRDefault="00823AFE">
            <w:pPr>
              <w:pStyle w:val="Tabellcell"/>
            </w:pPr>
            <w:r>
              <w:t xml:space="preserve">3.Trafikservicegrad, % (Enbart GS faktorer)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E528F62" w14:textId="77777777" w:rsidR="00CF1029" w:rsidRDefault="00823AFE">
            <w:pPr>
              <w:pStyle w:val="Tabellcell"/>
              <w:jc w:val="right"/>
            </w:pPr>
            <w:r>
              <w:t>95,1</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0537387" w14:textId="77777777" w:rsidR="00CF1029" w:rsidRDefault="00823AFE">
            <w:pPr>
              <w:pStyle w:val="Tabellcell"/>
              <w:jc w:val="right"/>
            </w:pPr>
            <w:r>
              <w:t>95,0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C83BC1D" w14:textId="77777777" w:rsidR="00CF1029" w:rsidRDefault="00823AFE">
            <w:pPr>
              <w:pStyle w:val="Tabellcell"/>
              <w:jc w:val="right"/>
            </w:pPr>
            <w:r>
              <w:t>92,05</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4D4759D" w14:textId="77777777" w:rsidR="00CF1029" w:rsidRDefault="00823AFE">
            <w:pPr>
              <w:pStyle w:val="Tabellcell"/>
              <w:jc w:val="right"/>
            </w:pPr>
            <w:r>
              <w:t>93,0</w:t>
            </w:r>
          </w:p>
        </w:tc>
      </w:tr>
      <w:tr w:rsidR="00CF1029" w14:paraId="63C720CD"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47922836" w14:textId="77777777" w:rsidR="00CF1029" w:rsidRDefault="00823AFE">
            <w:pPr>
              <w:pStyle w:val="Tabellcell"/>
            </w:pPr>
            <w:r>
              <w:t xml:space="preserve">4.Resandeutveckling, antal miljoner delresor </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D1D76C2" w14:textId="77777777" w:rsidR="00CF1029" w:rsidRDefault="00823AFE">
            <w:pPr>
              <w:pStyle w:val="Tabellcell"/>
              <w:jc w:val="right"/>
            </w:pPr>
            <w:r>
              <w:t>93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E61D3D4" w14:textId="77777777" w:rsidR="00CF1029" w:rsidRDefault="00823AFE">
            <w:pPr>
              <w:pStyle w:val="Tabellcell"/>
              <w:jc w:val="right"/>
            </w:pPr>
            <w:r>
              <w:t>119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A0866AD" w14:textId="77777777" w:rsidR="00CF1029" w:rsidRDefault="00823AFE">
            <w:pPr>
              <w:pStyle w:val="Tabellcell"/>
              <w:jc w:val="right"/>
            </w:pPr>
            <w:r>
              <w:t>32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F57BBA8" w14:textId="77777777" w:rsidR="00CF1029" w:rsidRDefault="00823AFE">
            <w:pPr>
              <w:pStyle w:val="Tabellcell"/>
              <w:jc w:val="right"/>
            </w:pPr>
            <w:proofErr w:type="gramStart"/>
            <w:r>
              <w:t>129-134</w:t>
            </w:r>
            <w:proofErr w:type="gramEnd"/>
          </w:p>
        </w:tc>
      </w:tr>
      <w:tr w:rsidR="00CF1029" w14:paraId="00535388"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69425394" w14:textId="77777777" w:rsidR="00CF1029" w:rsidRDefault="00823AFE">
            <w:pPr>
              <w:pStyle w:val="Tabellcell"/>
            </w:pPr>
            <w:r>
              <w:t xml:space="preserve">5.Ombordundersökning NKU* Senaste resan </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08D3F51" w14:textId="77777777" w:rsidR="00CF1029" w:rsidRDefault="00823AFE">
            <w:pPr>
              <w:pStyle w:val="Tabellcell"/>
              <w:jc w:val="right"/>
            </w:pPr>
            <w:r>
              <w:t>-</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5C2C524" w14:textId="77777777" w:rsidR="00CF1029" w:rsidRDefault="00823AFE">
            <w:pPr>
              <w:pStyle w:val="Tabellcell"/>
              <w:jc w:val="right"/>
            </w:pPr>
            <w:r>
              <w:t>4,0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C11D132" w14:textId="77777777" w:rsidR="00CF1029" w:rsidRDefault="00823AFE">
            <w:pPr>
              <w:pStyle w:val="Tabellcell"/>
              <w:jc w:val="right"/>
            </w:pPr>
            <w:r>
              <w:t>-</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29319D9" w14:textId="77777777" w:rsidR="00CF1029" w:rsidRDefault="00823AFE">
            <w:pPr>
              <w:pStyle w:val="Tabellcell"/>
              <w:jc w:val="right"/>
            </w:pPr>
            <w:r>
              <w:t>3,9</w:t>
            </w:r>
          </w:p>
        </w:tc>
      </w:tr>
    </w:tbl>
    <w:p w14:paraId="17B836A4" w14:textId="77777777" w:rsidR="00CF1029" w:rsidRDefault="00823AFE">
      <w:pPr>
        <w:pStyle w:val="BodyText"/>
        <w:widowControl w:val="0"/>
        <w:spacing w:before="160"/>
      </w:pPr>
      <w:r>
        <w:rPr>
          <w:u w:val="single"/>
        </w:rPr>
        <w:t>Kommentarer gällande perioden:</w:t>
      </w:r>
    </w:p>
    <w:p w14:paraId="1114E7D5" w14:textId="77777777" w:rsidR="00CF1029" w:rsidRDefault="00823AFE">
      <w:pPr>
        <w:pStyle w:val="BodyText"/>
        <w:widowControl w:val="0"/>
        <w:numPr>
          <w:ilvl w:val="0"/>
          <w:numId w:val="21"/>
        </w:numPr>
        <w:spacing w:after="0"/>
      </w:pPr>
      <w:r>
        <w:t>Antalet Vägtrafikolyckor i trafikmiljön under 2022 utvecklades i positiv riktning. Däremot utvecklades nyckeltalen gällande fall ombord, fall vid av- och påstigning samt fotgängarolyckor i negativ riktning. Bedöms härledas till kontinuerliga trafikförändringar i och i anslutning till spårvagnssystemet samt i centrala Göteborg. Under kvartal 1 2023 utvecklades ånyo Vägtrafikolyckorna i negativ riktning.</w:t>
      </w:r>
    </w:p>
    <w:p w14:paraId="6A0E8557" w14:textId="77777777" w:rsidR="00CF1029" w:rsidRDefault="00823AFE">
      <w:pPr>
        <w:pStyle w:val="BodyText"/>
        <w:widowControl w:val="0"/>
        <w:numPr>
          <w:ilvl w:val="0"/>
          <w:numId w:val="21"/>
        </w:numPr>
        <w:spacing w:after="0"/>
      </w:pPr>
      <w:r>
        <w:t xml:space="preserve">I slutet av kvartal 1 2023 har ca 26st av 30st M33 varit trafiksatta (2st till utbildning, 1st på nollställning i Västerås och 1st på skadereparation i </w:t>
      </w:r>
      <w:proofErr w:type="spellStart"/>
      <w:r>
        <w:t>Bautzen</w:t>
      </w:r>
      <w:proofErr w:type="spellEnd"/>
      <w:r>
        <w:t>). Baserat på detta grundförhållande bedöms spårvagnstillgängligheten i perioden som ansträngd men dock godkänd.</w:t>
      </w:r>
    </w:p>
    <w:p w14:paraId="4A1E3806" w14:textId="77777777" w:rsidR="00CF1029" w:rsidRDefault="00823AFE">
      <w:pPr>
        <w:pStyle w:val="BodyText"/>
        <w:widowControl w:val="0"/>
        <w:numPr>
          <w:ilvl w:val="0"/>
          <w:numId w:val="21"/>
        </w:numPr>
        <w:spacing w:after="0"/>
      </w:pPr>
      <w:r>
        <w:t>Baserat på periodens ökade externa faktorer bedöms den utförda trafiken trafikservicegraden, som icke godkänd.</w:t>
      </w:r>
    </w:p>
    <w:p w14:paraId="04580CEF" w14:textId="77777777" w:rsidR="00CF1029" w:rsidRDefault="00823AFE">
      <w:pPr>
        <w:pStyle w:val="BodyText"/>
        <w:widowControl w:val="0"/>
        <w:numPr>
          <w:ilvl w:val="0"/>
          <w:numId w:val="21"/>
        </w:numPr>
        <w:spacing w:after="0"/>
      </w:pPr>
      <w:r>
        <w:t>Under perioden så har resandeutvecklingen utvecklats positivt. Av samtliga trafikslag i Västra Götaland återhämtar sig spårvagnstrafiken sig snabbast.</w:t>
      </w:r>
    </w:p>
    <w:p w14:paraId="40F4DCA1" w14:textId="77777777" w:rsidR="00CF1029" w:rsidRDefault="00823AFE">
      <w:pPr>
        <w:pStyle w:val="BodyText"/>
        <w:widowControl w:val="0"/>
        <w:numPr>
          <w:ilvl w:val="0"/>
          <w:numId w:val="21"/>
        </w:numPr>
      </w:pPr>
      <w:r>
        <w:t>Gällande Ombord undersökningsresultat gällande kvalitetsområdet Senaste resan påvisade för spårvagnstrafiken 4,0 på en 5 gradig skala i betyg. Ingen mätning har genomförts under perioden.</w:t>
      </w:r>
    </w:p>
    <w:p w14:paraId="663F4ABC" w14:textId="77777777" w:rsidR="00CB095A" w:rsidRDefault="00CB095A">
      <w:pPr>
        <w:pStyle w:val="Tabellrubrik"/>
      </w:pPr>
    </w:p>
    <w:p w14:paraId="0CC0E1FC" w14:textId="3A017DAE" w:rsidR="00CF1029" w:rsidRDefault="00823AFE">
      <w:pPr>
        <w:pStyle w:val="Tabellrubrik"/>
      </w:pPr>
      <w:r>
        <w:t>Volym-, intäkts- och kostnadsutveckling</w:t>
      </w:r>
    </w:p>
    <w:tbl>
      <w:tblPr>
        <w:tblStyle w:val="Tabellrutnt"/>
        <w:tblOverlap w:val="never"/>
        <w:tblW w:w="0" w:type="auto"/>
        <w:tblLayout w:type="fixed"/>
        <w:tblLook w:val="04A0" w:firstRow="1" w:lastRow="0" w:firstColumn="1" w:lastColumn="0" w:noHBand="0" w:noVBand="1"/>
      </w:tblPr>
      <w:tblGrid>
        <w:gridCol w:w="3742"/>
        <w:gridCol w:w="1814"/>
        <w:gridCol w:w="1814"/>
      </w:tblGrid>
      <w:tr w:rsidR="00CF1029" w14:paraId="7A8B59DF" w14:textId="77777777">
        <w:trPr>
          <w:cantSplit w:val="0"/>
        </w:trPr>
        <w:tc>
          <w:tcPr>
            <w:tcW w:w="3742" w:type="dxa"/>
            <w:tcBorders>
              <w:top w:val="single" w:sz="4" w:space="0" w:color="auto"/>
              <w:left w:val="single" w:sz="4" w:space="0" w:color="auto"/>
              <w:bottom w:val="single" w:sz="18" w:space="0" w:color="auto"/>
              <w:right w:val="single" w:sz="4" w:space="0" w:color="auto"/>
            </w:tcBorders>
            <w:shd w:val="clear" w:color="auto" w:fill="E5E5E5"/>
            <w:vAlign w:val="center"/>
          </w:tcPr>
          <w:p w14:paraId="5EAA3DB0" w14:textId="77777777" w:rsidR="00CF1029" w:rsidRDefault="00823AFE">
            <w:pPr>
              <w:pStyle w:val="Tabellcell"/>
            </w:pPr>
            <w:r>
              <w:rPr>
                <w:b/>
              </w:rPr>
              <w:t>Mått</w:t>
            </w:r>
          </w:p>
        </w:tc>
        <w:tc>
          <w:tcPr>
            <w:tcW w:w="1814" w:type="dxa"/>
            <w:tcBorders>
              <w:top w:val="single" w:sz="4" w:space="0" w:color="auto"/>
              <w:left w:val="single" w:sz="4" w:space="0" w:color="auto"/>
              <w:bottom w:val="single" w:sz="18" w:space="0" w:color="auto"/>
              <w:right w:val="single" w:sz="4" w:space="0" w:color="auto"/>
            </w:tcBorders>
            <w:shd w:val="clear" w:color="auto" w:fill="E5E5E5"/>
            <w:vAlign w:val="center"/>
          </w:tcPr>
          <w:p w14:paraId="440D6B2B" w14:textId="77777777" w:rsidR="00CF1029" w:rsidRDefault="00823AFE">
            <w:pPr>
              <w:pStyle w:val="Tabellcell"/>
              <w:jc w:val="center"/>
            </w:pPr>
            <w:r>
              <w:rPr>
                <w:b/>
              </w:rPr>
              <w:t>Utfall perioden jämfört med samma period föregående år</w:t>
            </w:r>
          </w:p>
        </w:tc>
        <w:tc>
          <w:tcPr>
            <w:tcW w:w="1814" w:type="dxa"/>
            <w:tcBorders>
              <w:top w:val="single" w:sz="4" w:space="0" w:color="auto"/>
              <w:left w:val="single" w:sz="4" w:space="0" w:color="auto"/>
              <w:bottom w:val="single" w:sz="18" w:space="0" w:color="auto"/>
              <w:right w:val="single" w:sz="4" w:space="0" w:color="auto"/>
            </w:tcBorders>
            <w:shd w:val="clear" w:color="auto" w:fill="E5E5E5"/>
            <w:vAlign w:val="center"/>
          </w:tcPr>
          <w:p w14:paraId="51D52F7B" w14:textId="77777777" w:rsidR="00CF1029" w:rsidRDefault="00823AFE">
            <w:pPr>
              <w:pStyle w:val="Tabellcell"/>
              <w:jc w:val="center"/>
            </w:pPr>
            <w:r>
              <w:rPr>
                <w:b/>
              </w:rPr>
              <w:t>Prognos helår jämfört med helår föregående år</w:t>
            </w:r>
          </w:p>
        </w:tc>
      </w:tr>
      <w:tr w:rsidR="00CF1029" w14:paraId="6FDA6EFA" w14:textId="77777777">
        <w:trPr>
          <w:cantSplit w:val="0"/>
        </w:trPr>
        <w:tc>
          <w:tcPr>
            <w:tcW w:w="3742" w:type="dxa"/>
            <w:tcBorders>
              <w:top w:val="single" w:sz="18" w:space="0" w:color="auto"/>
              <w:left w:val="single" w:sz="4" w:space="0" w:color="auto"/>
              <w:bottom w:val="single" w:sz="4" w:space="0" w:color="auto"/>
              <w:right w:val="single" w:sz="4" w:space="0" w:color="auto"/>
            </w:tcBorders>
            <w:shd w:val="clear" w:color="auto" w:fill="FFFFFF"/>
            <w:vAlign w:val="center"/>
          </w:tcPr>
          <w:p w14:paraId="4F03B832" w14:textId="77777777" w:rsidR="00CF1029" w:rsidRDefault="00823AFE">
            <w:pPr>
              <w:pStyle w:val="Tabellcell"/>
            </w:pPr>
            <w:r>
              <w:t xml:space="preserve"> Beställd trafik vs Utförd trafik, miljoner km </w:t>
            </w:r>
          </w:p>
        </w:tc>
        <w:tc>
          <w:tcPr>
            <w:tcW w:w="181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BE3D7D" w14:textId="77777777" w:rsidR="00CF1029" w:rsidRDefault="00CF1029">
            <w:pPr>
              <w:pStyle w:val="Tabellcell"/>
            </w:pPr>
          </w:p>
        </w:tc>
        <w:tc>
          <w:tcPr>
            <w:tcW w:w="181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49D0C3" w14:textId="77777777" w:rsidR="00CF1029" w:rsidRDefault="00CF1029">
            <w:pPr>
              <w:pStyle w:val="Tabellcell"/>
            </w:pPr>
          </w:p>
        </w:tc>
      </w:tr>
      <w:tr w:rsidR="00CF1029" w14:paraId="0882A426" w14:textId="77777777">
        <w:trPr>
          <w:cantSplit w:val="0"/>
        </w:trPr>
        <w:tc>
          <w:tcPr>
            <w:tcW w:w="37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E0581F" w14:textId="77777777" w:rsidR="00CF1029" w:rsidRDefault="00CF1029">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A154F0" w14:textId="77777777" w:rsidR="00CF1029" w:rsidRDefault="00CF1029">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442D17" w14:textId="77777777" w:rsidR="00CF1029" w:rsidRDefault="00CF1029">
            <w:pPr>
              <w:pStyle w:val="Tabellcell"/>
            </w:pPr>
          </w:p>
        </w:tc>
      </w:tr>
    </w:tbl>
    <w:p w14:paraId="16E002A6" w14:textId="77777777" w:rsidR="00CF1029" w:rsidRDefault="00823AFE">
      <w:pPr>
        <w:pStyle w:val="BodyText"/>
        <w:widowControl w:val="0"/>
        <w:spacing w:before="160"/>
      </w:pPr>
      <w:r>
        <w:t>Tabell ovan innehåller ingen information då den ersätts med rapport nedan angående Beställd trafik vs Utförd trafik, miljoner km.</w:t>
      </w:r>
    </w:p>
    <w:p w14:paraId="2AD260AA" w14:textId="77777777" w:rsidR="00CF1029" w:rsidRDefault="00823AFE">
      <w:pPr>
        <w:pStyle w:val="BodyText"/>
        <w:widowControl w:val="0"/>
      </w:pPr>
      <w:r>
        <w:t> </w:t>
      </w:r>
    </w:p>
    <w:tbl>
      <w:tblPr>
        <w:tblStyle w:val="Tabellrutnt"/>
        <w:tblOverlap w:val="never"/>
        <w:tblW w:w="0" w:type="auto"/>
        <w:tblLayout w:type="fixed"/>
        <w:tblLook w:val="04A0" w:firstRow="1" w:lastRow="0" w:firstColumn="1" w:lastColumn="0" w:noHBand="0" w:noVBand="1"/>
      </w:tblPr>
      <w:tblGrid>
        <w:gridCol w:w="3118"/>
        <w:gridCol w:w="1417"/>
        <w:gridCol w:w="1417"/>
        <w:gridCol w:w="1417"/>
      </w:tblGrid>
      <w:tr w:rsidR="00CF1029" w14:paraId="5DC6B395" w14:textId="77777777">
        <w:trPr>
          <w:cantSplit w:val="0"/>
        </w:trPr>
        <w:tc>
          <w:tcPr>
            <w:tcW w:w="3118" w:type="dxa"/>
            <w:tcBorders>
              <w:top w:val="single" w:sz="4" w:space="0" w:color="auto"/>
              <w:left w:val="single" w:sz="4" w:space="0" w:color="auto"/>
              <w:bottom w:val="single" w:sz="18" w:space="0" w:color="auto"/>
              <w:right w:val="single" w:sz="4" w:space="0" w:color="auto"/>
            </w:tcBorders>
            <w:shd w:val="clear" w:color="auto" w:fill="E5E5E5"/>
            <w:vAlign w:val="center"/>
          </w:tcPr>
          <w:p w14:paraId="63D322BC" w14:textId="77777777" w:rsidR="00CF1029" w:rsidRDefault="00823AFE">
            <w:pPr>
              <w:pStyle w:val="Tabellcell"/>
            </w:pPr>
            <w:r>
              <w:rPr>
                <w:b/>
              </w:rPr>
              <w:t>Mått</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35E8835A" w14:textId="77777777" w:rsidR="00CF1029" w:rsidRDefault="00823AFE">
            <w:pPr>
              <w:pStyle w:val="Tabellcell"/>
              <w:jc w:val="center"/>
            </w:pPr>
            <w:r>
              <w:rPr>
                <w:b/>
              </w:rPr>
              <w:t>2021</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3403F39B" w14:textId="77777777" w:rsidR="00CF1029" w:rsidRDefault="00823AFE">
            <w:pPr>
              <w:pStyle w:val="Tabellcell"/>
              <w:jc w:val="center"/>
            </w:pPr>
            <w:r>
              <w:rPr>
                <w:b/>
              </w:rPr>
              <w:t>2022</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16A547F8" w14:textId="77777777" w:rsidR="00CF1029" w:rsidRDefault="00823AFE">
            <w:pPr>
              <w:pStyle w:val="Tabellcell"/>
              <w:jc w:val="center"/>
            </w:pPr>
            <w:r>
              <w:rPr>
                <w:b/>
              </w:rPr>
              <w:t>2023</w:t>
            </w:r>
          </w:p>
        </w:tc>
      </w:tr>
      <w:tr w:rsidR="00CF1029" w14:paraId="4A05A76A" w14:textId="77777777">
        <w:trPr>
          <w:cantSplit w:val="0"/>
        </w:trPr>
        <w:tc>
          <w:tcPr>
            <w:tcW w:w="3118" w:type="dxa"/>
            <w:tcBorders>
              <w:top w:val="single" w:sz="18" w:space="0" w:color="auto"/>
              <w:left w:val="single" w:sz="4" w:space="0" w:color="auto"/>
              <w:bottom w:val="single" w:sz="4" w:space="0" w:color="auto"/>
              <w:right w:val="single" w:sz="4" w:space="0" w:color="auto"/>
            </w:tcBorders>
            <w:shd w:val="clear" w:color="auto" w:fill="FFFFFF"/>
          </w:tcPr>
          <w:p w14:paraId="2AE447B4" w14:textId="77777777" w:rsidR="00CF1029" w:rsidRDefault="00823AFE">
            <w:pPr>
              <w:pStyle w:val="Tabellcell"/>
            </w:pPr>
            <w:r>
              <w:t>Beställd trafik vs Utförd trafik, miljoner km</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129F7F70" w14:textId="77777777" w:rsidR="00CF1029" w:rsidRDefault="00823AFE">
            <w:pPr>
              <w:pStyle w:val="Tabellcell"/>
              <w:jc w:val="center"/>
            </w:pPr>
            <w:r>
              <w:t>14,6-&gt;14,5</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0BE8A443" w14:textId="77777777" w:rsidR="00CF1029" w:rsidRDefault="00823AFE">
            <w:pPr>
              <w:pStyle w:val="Tabellcell"/>
              <w:jc w:val="center"/>
            </w:pPr>
            <w:r>
              <w:t>14,2-&gt;14,1</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76F25722" w14:textId="77777777" w:rsidR="00CF1029" w:rsidRDefault="00823AFE">
            <w:pPr>
              <w:pStyle w:val="Tabellcell"/>
              <w:jc w:val="center"/>
            </w:pPr>
            <w:r>
              <w:t>14,4-&gt;?</w:t>
            </w:r>
          </w:p>
        </w:tc>
      </w:tr>
    </w:tbl>
    <w:p w14:paraId="55F47548" w14:textId="77777777" w:rsidR="00CF1029" w:rsidRDefault="00823AFE">
      <w:pPr>
        <w:pStyle w:val="BodyText"/>
        <w:widowControl w:val="0"/>
        <w:spacing w:before="160"/>
      </w:pPr>
      <w:r>
        <w:rPr>
          <w:u w:val="single"/>
        </w:rPr>
        <w:t>Kommentarer gällande utförd trafik i kilometer:</w:t>
      </w:r>
    </w:p>
    <w:p w14:paraId="1E443AF4" w14:textId="77777777" w:rsidR="00CF1029" w:rsidRDefault="00823AFE">
      <w:pPr>
        <w:pStyle w:val="BodyText"/>
        <w:widowControl w:val="0"/>
        <w:numPr>
          <w:ilvl w:val="0"/>
          <w:numId w:val="22"/>
        </w:numPr>
        <w:spacing w:after="0"/>
      </w:pPr>
      <w:r>
        <w:t>Linje 13 trafikeras åter from T23.</w:t>
      </w:r>
    </w:p>
    <w:p w14:paraId="3A96566B" w14:textId="77777777" w:rsidR="00CF1029" w:rsidRDefault="00823AFE">
      <w:pPr>
        <w:pStyle w:val="BodyText"/>
        <w:widowControl w:val="0"/>
        <w:numPr>
          <w:ilvl w:val="0"/>
          <w:numId w:val="22"/>
        </w:numPr>
      </w:pPr>
      <w:r>
        <w:t>Utfallet kvartal 1 2023 gällande Utförd trafik bedöms tidigast vid UR 2.</w:t>
      </w:r>
    </w:p>
    <w:p w14:paraId="347E0E0E" w14:textId="77777777" w:rsidR="00CF1029" w:rsidRDefault="00823AFE">
      <w:pPr>
        <w:pStyle w:val="Rubrik3"/>
      </w:pPr>
      <w:bookmarkStart w:id="4" w:name="_Toc132262480"/>
      <w:r>
        <w:t>Väsentliga avvikelser i verksamhetens utveckling</w:t>
      </w:r>
      <w:bookmarkEnd w:id="4"/>
    </w:p>
    <w:tbl>
      <w:tblPr>
        <w:tblStyle w:val="Tabellrutnt"/>
        <w:tblOverlap w:val="never"/>
        <w:tblW w:w="0" w:type="auto"/>
        <w:tblLook w:val="04A0" w:firstRow="1" w:lastRow="0" w:firstColumn="1" w:lastColumn="0" w:noHBand="0" w:noVBand="1"/>
      </w:tblPr>
      <w:tblGrid>
        <w:gridCol w:w="7360"/>
      </w:tblGrid>
      <w:tr w:rsidR="00CF1029" w14:paraId="5E4F9AFF" w14:textId="77777777">
        <w:trPr>
          <w:cantSplit w:val="0"/>
          <w:tblHeader/>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62EDF7FD" w14:textId="77777777" w:rsidR="00CF1029" w:rsidRDefault="00823AFE">
            <w:pPr>
              <w:pStyle w:val="Tabellcell"/>
            </w:pPr>
            <w:r>
              <w:rPr>
                <w:b/>
              </w:rPr>
              <w:t>1. Brist på spårvagnar</w:t>
            </w:r>
          </w:p>
        </w:tc>
      </w:tr>
      <w:tr w:rsidR="00CF1029" w14:paraId="49C4C267"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2EFA0CAB" w14:textId="77777777" w:rsidR="00CF1029" w:rsidRDefault="00823AFE">
            <w:pPr>
              <w:pStyle w:val="Tabellcell"/>
            </w:pPr>
            <w:r>
              <w:rPr>
                <w:b/>
                <w:i/>
              </w:rPr>
              <w:t>Orsak till att avvikelsen uppstått</w:t>
            </w:r>
          </w:p>
        </w:tc>
      </w:tr>
      <w:tr w:rsidR="00CF1029" w14:paraId="1617339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C62D1CC" w14:textId="77777777" w:rsidR="00CF1029" w:rsidRDefault="00823AFE">
            <w:pPr>
              <w:pStyle w:val="Tabellcell"/>
            </w:pPr>
            <w:r>
              <w:t xml:space="preserve"> Spårvagnsbrist </w:t>
            </w:r>
          </w:p>
        </w:tc>
      </w:tr>
      <w:tr w:rsidR="00CF1029" w14:paraId="13E1633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321D47C" w14:textId="77777777" w:rsidR="00CF1029" w:rsidRDefault="00823AFE">
            <w:pPr>
              <w:pStyle w:val="Tabellcell"/>
            </w:pPr>
            <w:r>
              <w:rPr>
                <w:b/>
                <w:i/>
              </w:rPr>
              <w:t>Konsekvenser för de verksamheten är till för</w:t>
            </w:r>
          </w:p>
        </w:tc>
      </w:tr>
      <w:tr w:rsidR="00CF1029" w14:paraId="0289E4F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48A87B2A" w14:textId="77777777" w:rsidR="00CF1029" w:rsidRDefault="00823AFE">
            <w:pPr>
              <w:pStyle w:val="Tabellcell"/>
            </w:pPr>
            <w:r>
              <w:t xml:space="preserve"> Resenären drabbas av hög trängsel och lägre trafikservicegrad </w:t>
            </w:r>
          </w:p>
        </w:tc>
      </w:tr>
      <w:tr w:rsidR="00CF1029" w14:paraId="3D2C9AE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F2157A7" w14:textId="77777777" w:rsidR="00CF1029" w:rsidRDefault="00823AFE">
            <w:pPr>
              <w:pStyle w:val="Tabellcell"/>
            </w:pPr>
            <w:r>
              <w:rPr>
                <w:b/>
                <w:i/>
              </w:rPr>
              <w:t>Konsekvenser för organisation, medarbetare och chefer</w:t>
            </w:r>
          </w:p>
        </w:tc>
      </w:tr>
      <w:tr w:rsidR="00CF1029" w14:paraId="65A3284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733F7CC9" w14:textId="77777777" w:rsidR="00CF1029" w:rsidRDefault="00823AFE">
            <w:pPr>
              <w:pStyle w:val="Tabellcell"/>
            </w:pPr>
            <w:r>
              <w:t xml:space="preserve"> Bedöms som normalsituation tom 2026 (2027) då M33/34 fordon nr 100 har levererats. </w:t>
            </w:r>
          </w:p>
        </w:tc>
      </w:tr>
      <w:tr w:rsidR="00CF1029" w14:paraId="29A76FE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F4DE06C" w14:textId="77777777" w:rsidR="00CF1029" w:rsidRDefault="00823AFE">
            <w:pPr>
              <w:pStyle w:val="Tabellcell"/>
            </w:pPr>
            <w:r>
              <w:rPr>
                <w:b/>
                <w:i/>
              </w:rPr>
              <w:t>Ekonomiska konsekvenser</w:t>
            </w:r>
          </w:p>
        </w:tc>
      </w:tr>
      <w:tr w:rsidR="00CF1029" w14:paraId="1A0DB7D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77C63CF" w14:textId="77777777" w:rsidR="00CF1029" w:rsidRDefault="00823AFE">
            <w:pPr>
              <w:pStyle w:val="Tabellcell"/>
            </w:pPr>
            <w:r>
              <w:t>-</w:t>
            </w:r>
          </w:p>
        </w:tc>
      </w:tr>
      <w:tr w:rsidR="00CF1029" w14:paraId="4C544AC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B52A36D" w14:textId="77777777" w:rsidR="00CF1029" w:rsidRDefault="00823AFE">
            <w:pPr>
              <w:pStyle w:val="Tabellcell"/>
            </w:pPr>
            <w:r>
              <w:rPr>
                <w:b/>
                <w:i/>
              </w:rPr>
              <w:t>Vidtagna åtgärder</w:t>
            </w:r>
          </w:p>
        </w:tc>
      </w:tr>
      <w:tr w:rsidR="00CF1029" w14:paraId="3DCB092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58C5F814" w14:textId="77777777" w:rsidR="00CF1029" w:rsidRDefault="00823AFE">
            <w:pPr>
              <w:pStyle w:val="Tabellcell"/>
            </w:pPr>
            <w:r>
              <w:t>Organisation anpassad efter behov. Fordonsleveransplan mot 2027 samt 2034 Västtrafik M33/34 bevakas.</w:t>
            </w:r>
          </w:p>
        </w:tc>
      </w:tr>
    </w:tbl>
    <w:p w14:paraId="312B20F8" w14:textId="77777777" w:rsidR="00CF1029" w:rsidRDefault="00CF1029">
      <w:pPr>
        <w:pStyle w:val="BodyText"/>
      </w:pPr>
    </w:p>
    <w:tbl>
      <w:tblPr>
        <w:tblStyle w:val="Tabellrutnt"/>
        <w:tblOverlap w:val="never"/>
        <w:tblW w:w="0" w:type="auto"/>
        <w:tblLook w:val="04A0" w:firstRow="1" w:lastRow="0" w:firstColumn="1" w:lastColumn="0" w:noHBand="0" w:noVBand="1"/>
      </w:tblPr>
      <w:tblGrid>
        <w:gridCol w:w="7360"/>
      </w:tblGrid>
      <w:tr w:rsidR="00CF1029" w14:paraId="37729A37"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5E9C90F9" w14:textId="77777777" w:rsidR="00CF1029" w:rsidRDefault="00823AFE">
            <w:pPr>
              <w:pStyle w:val="Tabellcell"/>
            </w:pPr>
            <w:r>
              <w:rPr>
                <w:b/>
              </w:rPr>
              <w:t xml:space="preserve"> 2. Brist på spårvagnsuppställnings- och depåkapacitet </w:t>
            </w:r>
          </w:p>
        </w:tc>
      </w:tr>
      <w:tr w:rsidR="00CF1029" w14:paraId="1EE0E3F8"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42931030" w14:textId="77777777" w:rsidR="00CF1029" w:rsidRDefault="00823AFE">
            <w:pPr>
              <w:pStyle w:val="Tabellcell"/>
            </w:pPr>
            <w:r>
              <w:rPr>
                <w:b/>
                <w:i/>
              </w:rPr>
              <w:t>Orsak till att avvikelsen uppstått</w:t>
            </w:r>
          </w:p>
        </w:tc>
      </w:tr>
      <w:tr w:rsidR="00CF1029" w14:paraId="0B251DF1"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4967577" w14:textId="77777777" w:rsidR="00CF1029" w:rsidRDefault="00823AFE">
            <w:pPr>
              <w:pStyle w:val="Tabellcell"/>
            </w:pPr>
            <w:r>
              <w:t xml:space="preserve"> Låg nivå av spårvagnsuppställnings- och depåkapacitet </w:t>
            </w:r>
          </w:p>
        </w:tc>
      </w:tr>
      <w:tr w:rsidR="00CF1029" w14:paraId="03627B7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9FA5382" w14:textId="77777777" w:rsidR="00CF1029" w:rsidRDefault="00823AFE">
            <w:pPr>
              <w:pStyle w:val="Tabellcell"/>
            </w:pPr>
            <w:r>
              <w:rPr>
                <w:b/>
                <w:i/>
              </w:rPr>
              <w:t>Konsekvenser för de verksamheten är till för</w:t>
            </w:r>
          </w:p>
        </w:tc>
      </w:tr>
      <w:tr w:rsidR="00CF1029" w14:paraId="273C341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4276AE1" w14:textId="77777777" w:rsidR="00CF1029" w:rsidRDefault="00823AFE">
            <w:pPr>
              <w:pStyle w:val="Tabellcell"/>
            </w:pPr>
            <w:r>
              <w:t xml:space="preserve"> Resenären drabbas av lägre trafikservicegrad </w:t>
            </w:r>
            <w:proofErr w:type="spellStart"/>
            <w:r>
              <w:t>pga</w:t>
            </w:r>
            <w:proofErr w:type="spellEnd"/>
            <w:r>
              <w:t xml:space="preserve"> logistiska störningar </w:t>
            </w:r>
          </w:p>
        </w:tc>
      </w:tr>
      <w:tr w:rsidR="00CF1029" w14:paraId="7142947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BA76E62" w14:textId="77777777" w:rsidR="00CF1029" w:rsidRDefault="00823AFE">
            <w:pPr>
              <w:pStyle w:val="Tabellcell"/>
            </w:pPr>
            <w:r>
              <w:rPr>
                <w:b/>
                <w:i/>
              </w:rPr>
              <w:t>Konsekvenser för organisation, medarbetare och chefer</w:t>
            </w:r>
          </w:p>
        </w:tc>
      </w:tr>
      <w:tr w:rsidR="00CF1029" w14:paraId="30BA44F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2479F62" w14:textId="77777777" w:rsidR="00CF1029" w:rsidRDefault="00823AFE">
            <w:pPr>
              <w:pStyle w:val="Tabellcell"/>
            </w:pPr>
            <w:r>
              <w:t xml:space="preserve"> Dagliga </w:t>
            </w:r>
            <w:proofErr w:type="spellStart"/>
            <w:r>
              <w:t>omplaneringar</w:t>
            </w:r>
            <w:proofErr w:type="spellEnd"/>
            <w:r>
              <w:t xml:space="preserve"> av depålogistik kan innebära logistikrisker. </w:t>
            </w:r>
          </w:p>
        </w:tc>
      </w:tr>
      <w:tr w:rsidR="00CF1029" w14:paraId="4C57A18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4F3E9A7" w14:textId="77777777" w:rsidR="00CF1029" w:rsidRDefault="00823AFE">
            <w:pPr>
              <w:pStyle w:val="Tabellcell"/>
            </w:pPr>
            <w:r>
              <w:rPr>
                <w:b/>
                <w:i/>
              </w:rPr>
              <w:t>Ekonomiska konsekvenser</w:t>
            </w:r>
          </w:p>
        </w:tc>
      </w:tr>
      <w:tr w:rsidR="00CF1029" w14:paraId="24FCECE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8DCAD9B" w14:textId="77777777" w:rsidR="00CF1029" w:rsidRDefault="00823AFE">
            <w:pPr>
              <w:pStyle w:val="Tabellcell"/>
            </w:pPr>
            <w:r>
              <w:lastRenderedPageBreak/>
              <w:t>-</w:t>
            </w:r>
          </w:p>
        </w:tc>
      </w:tr>
      <w:tr w:rsidR="00CF1029" w14:paraId="7E06900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619FCDE" w14:textId="77777777" w:rsidR="00CF1029" w:rsidRDefault="00823AFE">
            <w:pPr>
              <w:pStyle w:val="Tabellcell"/>
            </w:pPr>
            <w:r>
              <w:rPr>
                <w:b/>
                <w:i/>
              </w:rPr>
              <w:t>Vidtagna åtgärder</w:t>
            </w:r>
          </w:p>
        </w:tc>
      </w:tr>
      <w:tr w:rsidR="00CF1029" w14:paraId="4A19AEB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CD09CBC" w14:textId="77777777" w:rsidR="00CF1029" w:rsidRDefault="00823AFE">
            <w:pPr>
              <w:pStyle w:val="Tabellcell"/>
            </w:pPr>
            <w:r>
              <w:t xml:space="preserve">Organisation anpassad efter behov. Depårenovering Västtrafik (Västfastigheter) samt etablering av Ringön etapp II bevakas. </w:t>
            </w:r>
          </w:p>
        </w:tc>
      </w:tr>
    </w:tbl>
    <w:p w14:paraId="564F8056" w14:textId="77777777" w:rsidR="00CF1029" w:rsidRDefault="00CF1029">
      <w:pPr>
        <w:pStyle w:val="BodyText"/>
      </w:pPr>
    </w:p>
    <w:tbl>
      <w:tblPr>
        <w:tblStyle w:val="Tabellrutnt"/>
        <w:tblOverlap w:val="never"/>
        <w:tblW w:w="0" w:type="auto"/>
        <w:tblLook w:val="04A0" w:firstRow="1" w:lastRow="0" w:firstColumn="1" w:lastColumn="0" w:noHBand="0" w:noVBand="1"/>
      </w:tblPr>
      <w:tblGrid>
        <w:gridCol w:w="7360"/>
      </w:tblGrid>
      <w:tr w:rsidR="00CF1029" w14:paraId="3AFBA4F5"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42FB3A62" w14:textId="77777777" w:rsidR="00CF1029" w:rsidRDefault="00823AFE">
            <w:pPr>
              <w:pStyle w:val="Tabellcell"/>
            </w:pPr>
            <w:r>
              <w:rPr>
                <w:b/>
              </w:rPr>
              <w:t>3. Brist i spårvägsanläggningen</w:t>
            </w:r>
          </w:p>
        </w:tc>
      </w:tr>
      <w:tr w:rsidR="00CF1029" w14:paraId="4A618DB6"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62F41F4C" w14:textId="77777777" w:rsidR="00CF1029" w:rsidRDefault="00823AFE">
            <w:pPr>
              <w:pStyle w:val="Tabellcell"/>
            </w:pPr>
            <w:r>
              <w:rPr>
                <w:b/>
                <w:i/>
              </w:rPr>
              <w:t>Orsak till att avvikelsen uppstått</w:t>
            </w:r>
          </w:p>
        </w:tc>
      </w:tr>
      <w:tr w:rsidR="00CF1029" w14:paraId="0BB384D1"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B865690" w14:textId="77777777" w:rsidR="00CF1029" w:rsidRDefault="00823AFE">
            <w:pPr>
              <w:pStyle w:val="Tabellcell"/>
            </w:pPr>
            <w:r>
              <w:t xml:space="preserve">Hög nivå av driftstörningar, hastighetsnedsättningar och behov av </w:t>
            </w:r>
            <w:proofErr w:type="spellStart"/>
            <w:r>
              <w:t>omplaneringar</w:t>
            </w:r>
            <w:proofErr w:type="spellEnd"/>
            <w:r>
              <w:t xml:space="preserve"> i spårvägsanläggningen</w:t>
            </w:r>
          </w:p>
        </w:tc>
      </w:tr>
      <w:tr w:rsidR="00CF1029" w14:paraId="39B159E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0FB09BD" w14:textId="77777777" w:rsidR="00CF1029" w:rsidRDefault="00823AFE">
            <w:pPr>
              <w:pStyle w:val="Tabellcell"/>
            </w:pPr>
            <w:r>
              <w:rPr>
                <w:b/>
                <w:i/>
              </w:rPr>
              <w:t>Konsekvenser för de verksamheten är till för</w:t>
            </w:r>
          </w:p>
        </w:tc>
      </w:tr>
      <w:tr w:rsidR="00CF1029" w14:paraId="20CDEA4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63D295E9" w14:textId="77777777" w:rsidR="00CF1029" w:rsidRDefault="00823AFE">
            <w:pPr>
              <w:pStyle w:val="Tabellcell"/>
            </w:pPr>
            <w:r>
              <w:t xml:space="preserve"> Resenären drabbas av hög nivå av byte av resväg samt behov av ersättningstrafik </w:t>
            </w:r>
          </w:p>
        </w:tc>
      </w:tr>
      <w:tr w:rsidR="00CF1029" w14:paraId="4F08C03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6A18F72" w14:textId="77777777" w:rsidR="00CF1029" w:rsidRDefault="00823AFE">
            <w:pPr>
              <w:pStyle w:val="Tabellcell"/>
            </w:pPr>
            <w:r>
              <w:rPr>
                <w:b/>
                <w:i/>
              </w:rPr>
              <w:t>Konsekvenser för organisation, medarbetare och chefer</w:t>
            </w:r>
          </w:p>
        </w:tc>
      </w:tr>
      <w:tr w:rsidR="00CF1029" w14:paraId="7577648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DC3A400" w14:textId="77777777" w:rsidR="00CF1029" w:rsidRDefault="00823AFE">
            <w:pPr>
              <w:pStyle w:val="Tabellcell"/>
            </w:pPr>
            <w:r>
              <w:t xml:space="preserve">Utöver grundtidtabellen som planeras from december – december månad (12 månader) genomförs ett mycket stort antal </w:t>
            </w:r>
            <w:proofErr w:type="spellStart"/>
            <w:r>
              <w:t>omplaneringar</w:t>
            </w:r>
            <w:proofErr w:type="spellEnd"/>
            <w:r>
              <w:t xml:space="preserve"> av tidtabellen på grund av de av Stadsmiljöförvaltningen, delvis, erhållna spårarbetesplanerna. Konsekvensen för spårvagnsförarna är främst </w:t>
            </w:r>
            <w:proofErr w:type="spellStart"/>
            <w:r>
              <w:t>felkörningar</w:t>
            </w:r>
            <w:proofErr w:type="spellEnd"/>
            <w:r>
              <w:t>, schemarubbningar och övertid. Risk för arbetsmiljöutmattning föreligger.</w:t>
            </w:r>
          </w:p>
        </w:tc>
      </w:tr>
      <w:tr w:rsidR="00CF1029" w14:paraId="78FF3B6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05932D1" w14:textId="77777777" w:rsidR="00CF1029" w:rsidRDefault="00823AFE">
            <w:pPr>
              <w:pStyle w:val="Tabellcell"/>
            </w:pPr>
            <w:r>
              <w:rPr>
                <w:b/>
                <w:i/>
              </w:rPr>
              <w:t>Ekonomiska konsekvenser</w:t>
            </w:r>
          </w:p>
        </w:tc>
      </w:tr>
      <w:tr w:rsidR="00CF1029" w14:paraId="090B0CA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72963F65" w14:textId="77777777" w:rsidR="00CF1029" w:rsidRDefault="00823AFE">
            <w:pPr>
              <w:pStyle w:val="Tabellcell"/>
            </w:pPr>
            <w:r>
              <w:t>-</w:t>
            </w:r>
          </w:p>
        </w:tc>
      </w:tr>
      <w:tr w:rsidR="00CF1029" w14:paraId="367558B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7F0A84D" w14:textId="77777777" w:rsidR="00CF1029" w:rsidRDefault="00823AFE">
            <w:pPr>
              <w:pStyle w:val="Tabellcell"/>
            </w:pPr>
            <w:r>
              <w:rPr>
                <w:b/>
                <w:i/>
              </w:rPr>
              <w:t>Vidtagna åtgärder</w:t>
            </w:r>
          </w:p>
        </w:tc>
      </w:tr>
      <w:tr w:rsidR="00CF1029" w14:paraId="70AB4911"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4ED8DD36" w14:textId="77777777" w:rsidR="00CF1029" w:rsidRDefault="00823AFE">
            <w:pPr>
              <w:pStyle w:val="Tabellcell"/>
            </w:pPr>
            <w:r>
              <w:t>3-partsamarbete mellan GS, Västtrafik samt Stadsmiljöförvaltningen planeras. Underhållsplaneringen måste effektiviseras och flödeshinder måste arbetas bort.</w:t>
            </w:r>
          </w:p>
        </w:tc>
      </w:tr>
    </w:tbl>
    <w:p w14:paraId="761EF2F4" w14:textId="77777777" w:rsidR="00CF1029" w:rsidRDefault="00CF1029">
      <w:pPr>
        <w:pStyle w:val="BodyText"/>
      </w:pPr>
    </w:p>
    <w:tbl>
      <w:tblPr>
        <w:tblStyle w:val="Tabellrutnt"/>
        <w:tblOverlap w:val="never"/>
        <w:tblW w:w="0" w:type="auto"/>
        <w:tblLook w:val="04A0" w:firstRow="1" w:lastRow="0" w:firstColumn="1" w:lastColumn="0" w:noHBand="0" w:noVBand="1"/>
      </w:tblPr>
      <w:tblGrid>
        <w:gridCol w:w="7360"/>
      </w:tblGrid>
      <w:tr w:rsidR="00CF1029" w14:paraId="7CC3BF5E"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1C5B7C7E" w14:textId="77777777" w:rsidR="00CF1029" w:rsidRDefault="00823AFE">
            <w:pPr>
              <w:pStyle w:val="Tabellcell"/>
            </w:pPr>
            <w:r>
              <w:rPr>
                <w:b/>
              </w:rPr>
              <w:t>4. Brist i spårvägsanläggningen</w:t>
            </w:r>
          </w:p>
        </w:tc>
      </w:tr>
      <w:tr w:rsidR="00CF1029" w14:paraId="72CCB02B"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7C9171EE" w14:textId="77777777" w:rsidR="00CF1029" w:rsidRDefault="00823AFE">
            <w:pPr>
              <w:pStyle w:val="Tabellcell"/>
            </w:pPr>
            <w:r>
              <w:rPr>
                <w:b/>
                <w:i/>
              </w:rPr>
              <w:t>Orsak till att avvikelsen uppstått</w:t>
            </w:r>
          </w:p>
        </w:tc>
      </w:tr>
      <w:tr w:rsidR="00CF1029" w14:paraId="6280C63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18F5370" w14:textId="77777777" w:rsidR="00CF1029" w:rsidRDefault="00823AFE">
            <w:pPr>
              <w:pStyle w:val="Tabellcell"/>
            </w:pPr>
            <w:r>
              <w:t xml:space="preserve"> Låg </w:t>
            </w:r>
            <w:proofErr w:type="spellStart"/>
            <w:r>
              <w:t>reshastighet</w:t>
            </w:r>
            <w:proofErr w:type="spellEnd"/>
            <w:r>
              <w:t xml:space="preserve"> och låg punktlighet baserad på dålig framkomlighet. </w:t>
            </w:r>
          </w:p>
        </w:tc>
      </w:tr>
      <w:tr w:rsidR="00CF1029" w14:paraId="4C5A3FA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1419769" w14:textId="77777777" w:rsidR="00CF1029" w:rsidRDefault="00823AFE">
            <w:pPr>
              <w:pStyle w:val="Tabellcell"/>
            </w:pPr>
            <w:r>
              <w:rPr>
                <w:b/>
                <w:i/>
              </w:rPr>
              <w:t>Konsekvenser för de verksamheten är till för</w:t>
            </w:r>
          </w:p>
        </w:tc>
      </w:tr>
      <w:tr w:rsidR="00CF1029" w14:paraId="55492E2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D49DA51" w14:textId="77777777" w:rsidR="00CF1029" w:rsidRDefault="00823AFE">
            <w:pPr>
              <w:pStyle w:val="Tabellcell"/>
            </w:pPr>
            <w:r>
              <w:t>Resenären drabbas av låg produktkvalitet, risk för missnöjda resenärer och inbromsad resandeutveckling.</w:t>
            </w:r>
          </w:p>
        </w:tc>
      </w:tr>
      <w:tr w:rsidR="00CF1029" w14:paraId="75CBA8E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37BF750" w14:textId="77777777" w:rsidR="00CF1029" w:rsidRDefault="00823AFE">
            <w:pPr>
              <w:pStyle w:val="Tabellcell"/>
            </w:pPr>
            <w:r>
              <w:rPr>
                <w:b/>
                <w:i/>
              </w:rPr>
              <w:t>Konsekvenser för organisation, medarbetare och chefer</w:t>
            </w:r>
          </w:p>
        </w:tc>
      </w:tr>
      <w:tr w:rsidR="00CF1029" w14:paraId="3A31627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211B950A" w14:textId="77777777" w:rsidR="00CF1029" w:rsidRDefault="00823AFE">
            <w:pPr>
              <w:pStyle w:val="Tabellcell"/>
            </w:pPr>
            <w:r>
              <w:t xml:space="preserve">Låg </w:t>
            </w:r>
            <w:proofErr w:type="spellStart"/>
            <w:r>
              <w:t>reshastighet</w:t>
            </w:r>
            <w:proofErr w:type="spellEnd"/>
            <w:r>
              <w:t xml:space="preserve"> (9 - 10,5 km/h i högtrafik) kräver bland annat fler antal fordon och spårvagnsförare som transporterar resenärerna, fler depåuppställningsplatser och underhållsresurser.</w:t>
            </w:r>
          </w:p>
        </w:tc>
      </w:tr>
      <w:tr w:rsidR="00CF1029" w14:paraId="735BADD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39C6F04" w14:textId="77777777" w:rsidR="00CF1029" w:rsidRDefault="00823AFE">
            <w:pPr>
              <w:pStyle w:val="Tabellcell"/>
            </w:pPr>
            <w:r>
              <w:rPr>
                <w:b/>
                <w:i/>
              </w:rPr>
              <w:t>Ekonomiska konsekvenser</w:t>
            </w:r>
          </w:p>
        </w:tc>
      </w:tr>
      <w:tr w:rsidR="00CF1029" w14:paraId="2592C46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F29E715" w14:textId="77777777" w:rsidR="00CF1029" w:rsidRDefault="00823AFE">
            <w:pPr>
              <w:pStyle w:val="Tabellcell"/>
            </w:pPr>
            <w:r>
              <w:t>-</w:t>
            </w:r>
          </w:p>
        </w:tc>
      </w:tr>
      <w:tr w:rsidR="00CF1029" w14:paraId="41171CA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A8590F7" w14:textId="77777777" w:rsidR="00CF1029" w:rsidRDefault="00823AFE">
            <w:pPr>
              <w:pStyle w:val="Tabellcell"/>
            </w:pPr>
            <w:r>
              <w:rPr>
                <w:b/>
                <w:i/>
              </w:rPr>
              <w:t>Vidtagna åtgärder</w:t>
            </w:r>
          </w:p>
        </w:tc>
      </w:tr>
      <w:tr w:rsidR="00CF1029" w14:paraId="0D70A33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2EB268F1" w14:textId="77777777" w:rsidR="00CF1029" w:rsidRDefault="00823AFE">
            <w:pPr>
              <w:pStyle w:val="Tabellcell"/>
            </w:pPr>
            <w:r>
              <w:t>3-partsamarbete mellan GS, Västtrafik samt Stadsmiljöförvaltningen planeras. Trafikmiljön och spårvagnsframförandet måste förbättras med skyddsbarriärer och framkomlighetsåtgärder. Risk för arbetsmiljöutmattning föreligger.</w:t>
            </w:r>
          </w:p>
        </w:tc>
      </w:tr>
    </w:tbl>
    <w:p w14:paraId="353261A1" w14:textId="77777777" w:rsidR="00CF1029" w:rsidRDefault="00823AFE">
      <w:pPr>
        <w:pStyle w:val="Rubrik3"/>
      </w:pPr>
      <w:bookmarkStart w:id="5" w:name="_Toc132262481"/>
      <w:r>
        <w:t>Övrig väsentlig information till kommunstyrelsen</w:t>
      </w:r>
      <w:bookmarkEnd w:id="5"/>
    </w:p>
    <w:p w14:paraId="68D81F7F" w14:textId="77777777" w:rsidR="00CF1029" w:rsidRDefault="00823AFE">
      <w:pPr>
        <w:pStyle w:val="BodyText"/>
        <w:widowControl w:val="0"/>
      </w:pPr>
      <w:r>
        <w:t>Ej aktuellt.</w:t>
      </w:r>
    </w:p>
    <w:p w14:paraId="463D4C50" w14:textId="77777777" w:rsidR="00CF1029" w:rsidRDefault="00823AFE">
      <w:pPr>
        <w:pStyle w:val="Rubrik2"/>
      </w:pPr>
      <w:bookmarkStart w:id="6" w:name="_Toc132262482"/>
      <w:r>
        <w:lastRenderedPageBreak/>
        <w:t>Kommunfullmäktiges budgetmål</w:t>
      </w:r>
      <w:bookmarkEnd w:id="6"/>
    </w:p>
    <w:p w14:paraId="38A57899" w14:textId="77777777" w:rsidR="00CF1029" w:rsidRDefault="00823AFE">
      <w:pPr>
        <w:pStyle w:val="Texttitel"/>
      </w:pPr>
      <w:r>
        <w:t xml:space="preserve">Hur har styrelsen tagit sig an målen i kommunfullmäktiges </w:t>
      </w:r>
      <w:proofErr w:type="gramStart"/>
      <w:r>
        <w:t>budget  2023</w:t>
      </w:r>
      <w:proofErr w:type="gramEnd"/>
      <w:r>
        <w:t>?</w:t>
      </w:r>
    </w:p>
    <w:p w14:paraId="3F104FC3" w14:textId="77777777" w:rsidR="00CF1029" w:rsidRDefault="00823AFE">
      <w:pPr>
        <w:pStyle w:val="BodyText"/>
        <w:widowControl w:val="0"/>
      </w:pPr>
      <w:r>
        <w:t>Not: Göteborgs Spårvägar AB finansieras direkt samt indirekt av Västtrafik.</w:t>
      </w:r>
    </w:p>
    <w:p w14:paraId="6FD0BEEF" w14:textId="77777777" w:rsidR="00CF1029" w:rsidRDefault="00823AFE">
      <w:pPr>
        <w:pStyle w:val="Rubrik3"/>
      </w:pPr>
      <w:bookmarkStart w:id="7" w:name="_Toc132262483"/>
      <w:r>
        <w:t>Organisationsmål</w:t>
      </w:r>
      <w:bookmarkEnd w:id="7"/>
    </w:p>
    <w:tbl>
      <w:tblPr>
        <w:tblStyle w:val="Tabellrutnt"/>
        <w:tblOverlap w:val="never"/>
        <w:tblW w:w="0" w:type="auto"/>
        <w:tblLayout w:type="fixed"/>
        <w:tblLook w:val="04A0" w:firstRow="1" w:lastRow="0" w:firstColumn="1" w:lastColumn="0" w:noHBand="0" w:noVBand="1"/>
      </w:tblPr>
      <w:tblGrid>
        <w:gridCol w:w="1497"/>
        <w:gridCol w:w="979"/>
        <w:gridCol w:w="979"/>
        <w:gridCol w:w="979"/>
        <w:gridCol w:w="979"/>
        <w:gridCol w:w="979"/>
        <w:gridCol w:w="979"/>
      </w:tblGrid>
      <w:tr w:rsidR="00CF1029" w14:paraId="60C1FE54" w14:textId="77777777">
        <w:trPr>
          <w:cantSplit w:val="0"/>
        </w:trPr>
        <w:tc>
          <w:tcPr>
            <w:tcW w:w="7371" w:type="dxa"/>
            <w:gridSpan w:val="7"/>
            <w:tcBorders>
              <w:top w:val="single" w:sz="4" w:space="0" w:color="auto"/>
              <w:left w:val="single" w:sz="4" w:space="0" w:color="auto"/>
              <w:bottom w:val="single" w:sz="18" w:space="0" w:color="auto"/>
              <w:right w:val="single" w:sz="4" w:space="0" w:color="auto"/>
            </w:tcBorders>
            <w:shd w:val="clear" w:color="auto" w:fill="E5E5E5"/>
            <w:vAlign w:val="center"/>
          </w:tcPr>
          <w:p w14:paraId="3639C186" w14:textId="77777777" w:rsidR="00CF1029" w:rsidRDefault="00823AFE">
            <w:pPr>
              <w:pStyle w:val="Tabellcell"/>
            </w:pPr>
            <w:r>
              <w:rPr>
                <w:b/>
                <w:i/>
              </w:rPr>
              <w:t>Göteborgs Stad är en attraktiv arbetsgivare med goda arbetsvillkor</w:t>
            </w:r>
          </w:p>
        </w:tc>
      </w:tr>
      <w:tr w:rsidR="00CF1029" w14:paraId="7182FC8A" w14:textId="77777777">
        <w:trPr>
          <w:cantSplit w:val="0"/>
        </w:trPr>
        <w:tc>
          <w:tcPr>
            <w:tcW w:w="7371" w:type="dxa"/>
            <w:gridSpan w:val="7"/>
            <w:tcBorders>
              <w:top w:val="single" w:sz="18" w:space="0" w:color="auto"/>
              <w:left w:val="single" w:sz="4" w:space="0" w:color="auto"/>
              <w:bottom w:val="single" w:sz="4" w:space="0" w:color="auto"/>
              <w:right w:val="single" w:sz="4" w:space="0" w:color="auto"/>
            </w:tcBorders>
            <w:shd w:val="clear" w:color="auto" w:fill="E5E5E5"/>
          </w:tcPr>
          <w:p w14:paraId="0D46D5C1" w14:textId="77777777" w:rsidR="00CF1029" w:rsidRDefault="00823AFE">
            <w:pPr>
              <w:pStyle w:val="Tabellcell"/>
            </w:pPr>
            <w:r>
              <w:rPr>
                <w:b/>
              </w:rPr>
              <w:t>Indikator - Medarbetarengagemang (HME) - Totalindex</w:t>
            </w:r>
          </w:p>
        </w:tc>
      </w:tr>
      <w:tr w:rsidR="00CF1029" w14:paraId="33D4124F" w14:textId="77777777">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1F3983" w14:textId="77777777" w:rsidR="00CF1029" w:rsidRDefault="00CF1029">
            <w:pPr>
              <w:pStyle w:val="Tabellcell"/>
            </w:pP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DEE2856" w14:textId="77777777" w:rsidR="00CF1029" w:rsidRDefault="00823AFE">
            <w:pPr>
              <w:pStyle w:val="Tabellcell"/>
              <w:jc w:val="center"/>
            </w:pPr>
            <w:r>
              <w:rPr>
                <w:b/>
              </w:rPr>
              <w:t>Utfall 2020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48E4B9A" w14:textId="77777777" w:rsidR="00CF1029" w:rsidRDefault="00823AFE">
            <w:pPr>
              <w:pStyle w:val="Tabellcell"/>
              <w:jc w:val="center"/>
            </w:pPr>
            <w:r>
              <w:rPr>
                <w:b/>
              </w:rPr>
              <w:t>Utfall 2021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21F71D0D" w14:textId="77777777" w:rsidR="00CF1029" w:rsidRDefault="00823AFE">
            <w:pPr>
              <w:pStyle w:val="Tabellcell"/>
              <w:jc w:val="center"/>
            </w:pPr>
            <w:r>
              <w:rPr>
                <w:b/>
              </w:rPr>
              <w:t>Utfall 2022</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202247DA" w14:textId="77777777" w:rsidR="00CF1029" w:rsidRDefault="00823AFE">
            <w:pPr>
              <w:pStyle w:val="Tabellcell"/>
              <w:jc w:val="center"/>
            </w:pPr>
            <w:r>
              <w:rPr>
                <w:b/>
              </w:rPr>
              <w:t>Mål 2023</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5E2B3EA6" w14:textId="77777777" w:rsidR="00CF1029" w:rsidRDefault="00823AFE">
            <w:pPr>
              <w:pStyle w:val="Tabellcell"/>
              <w:jc w:val="center"/>
            </w:pPr>
            <w:r>
              <w:rPr>
                <w:b/>
              </w:rPr>
              <w:t>Mål 2024</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3C0F58F2" w14:textId="77777777" w:rsidR="00CF1029" w:rsidRDefault="00823AFE">
            <w:pPr>
              <w:pStyle w:val="Tabellcell"/>
              <w:jc w:val="center"/>
            </w:pPr>
            <w:r>
              <w:rPr>
                <w:b/>
              </w:rPr>
              <w:t>Mål 2030</w:t>
            </w:r>
          </w:p>
        </w:tc>
      </w:tr>
      <w:tr w:rsidR="00CF1029" w14:paraId="0A7B504F" w14:textId="77777777">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Pr>
          <w:p w14:paraId="69CF24BB" w14:textId="77777777" w:rsidR="00CF1029" w:rsidRDefault="00823AFE">
            <w:pPr>
              <w:pStyle w:val="Tabellcell"/>
            </w:pPr>
            <w:r>
              <w:t>Utfall/mål för bolaget</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AC11770" w14:textId="77777777" w:rsidR="00CF1029" w:rsidRDefault="00823AFE">
            <w:pPr>
              <w:pStyle w:val="Tabellcell"/>
              <w:jc w:val="right"/>
            </w:pPr>
            <w:r>
              <w:t>*</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6CAD070A" w14:textId="77777777" w:rsidR="00CF1029" w:rsidRDefault="00823AFE">
            <w:pPr>
              <w:pStyle w:val="Tabellcell"/>
              <w:jc w:val="right"/>
            </w:pPr>
            <w:r>
              <w:t>73</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4F4054A" w14:textId="77777777" w:rsidR="00CF1029" w:rsidRDefault="00823AFE">
            <w:pPr>
              <w:pStyle w:val="Tabellcell"/>
              <w:jc w:val="right"/>
            </w:pPr>
            <w:r>
              <w:t>72</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607BCF0F" w14:textId="77777777" w:rsidR="00CF1029" w:rsidRDefault="00823AFE">
            <w:pPr>
              <w:pStyle w:val="Tabellcell"/>
              <w:jc w:val="right"/>
            </w:pPr>
            <w:r>
              <w:t>73</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08C350DD" w14:textId="77777777" w:rsidR="00CF1029" w:rsidRDefault="00823AFE">
            <w:pPr>
              <w:pStyle w:val="Tabellcell"/>
              <w:jc w:val="right"/>
            </w:pPr>
            <w:r>
              <w:t>81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801DCAA" w14:textId="77777777" w:rsidR="00CF1029" w:rsidRDefault="00823AFE">
            <w:pPr>
              <w:pStyle w:val="Tabellcell"/>
              <w:jc w:val="right"/>
            </w:pPr>
            <w:r>
              <w:t>85</w:t>
            </w:r>
          </w:p>
        </w:tc>
      </w:tr>
      <w:tr w:rsidR="00CF1029" w14:paraId="0E0AAEA0" w14:textId="77777777">
        <w:trPr>
          <w:cantSplit w:val="0"/>
        </w:trPr>
        <w:tc>
          <w:tcPr>
            <w:tcW w:w="7371" w:type="dxa"/>
            <w:gridSpan w:val="7"/>
            <w:tcBorders>
              <w:top w:val="single" w:sz="4" w:space="0" w:color="auto"/>
              <w:left w:val="single" w:sz="4" w:space="0" w:color="auto"/>
              <w:bottom w:val="single" w:sz="4" w:space="0" w:color="auto"/>
              <w:right w:val="single" w:sz="4" w:space="0" w:color="auto"/>
            </w:tcBorders>
            <w:shd w:val="clear" w:color="auto" w:fill="E5E5E5"/>
          </w:tcPr>
          <w:p w14:paraId="37C4A56A" w14:textId="77777777" w:rsidR="00CF1029" w:rsidRDefault="00823AFE">
            <w:pPr>
              <w:pStyle w:val="Tabellcell"/>
            </w:pPr>
            <w:r>
              <w:rPr>
                <w:b/>
              </w:rPr>
              <w:t>Indikator - Sjukfrånvaro kommunalt anställda</w:t>
            </w:r>
          </w:p>
        </w:tc>
      </w:tr>
      <w:tr w:rsidR="00CF1029" w14:paraId="71967C20" w14:textId="77777777">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AD9DECE" w14:textId="77777777" w:rsidR="00CF1029" w:rsidRDefault="00CF1029">
            <w:pPr>
              <w:pStyle w:val="Tabellcell"/>
            </w:pP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234564E5" w14:textId="77777777" w:rsidR="00CF1029" w:rsidRDefault="00823AFE">
            <w:pPr>
              <w:pStyle w:val="Tabellcell"/>
              <w:jc w:val="center"/>
            </w:pPr>
            <w:r>
              <w:rPr>
                <w:b/>
              </w:rPr>
              <w:t>Utfall 2020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383C79C9" w14:textId="77777777" w:rsidR="00CF1029" w:rsidRDefault="00823AFE">
            <w:pPr>
              <w:pStyle w:val="Tabellcell"/>
              <w:jc w:val="center"/>
            </w:pPr>
            <w:r>
              <w:rPr>
                <w:b/>
              </w:rPr>
              <w:t>Utfall 2021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0318F0A3" w14:textId="77777777" w:rsidR="00CF1029" w:rsidRDefault="00823AFE">
            <w:pPr>
              <w:pStyle w:val="Tabellcell"/>
              <w:jc w:val="center"/>
            </w:pPr>
            <w:r>
              <w:rPr>
                <w:b/>
              </w:rPr>
              <w:t>Utfall 2022</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6ED43DCE" w14:textId="77777777" w:rsidR="00CF1029" w:rsidRDefault="00823AFE">
            <w:pPr>
              <w:pStyle w:val="Tabellcell"/>
              <w:jc w:val="center"/>
            </w:pPr>
            <w:r>
              <w:rPr>
                <w:b/>
              </w:rPr>
              <w:t>Mål 2023</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5F540890" w14:textId="77777777" w:rsidR="00CF1029" w:rsidRDefault="00823AFE">
            <w:pPr>
              <w:pStyle w:val="Tabellcell"/>
              <w:jc w:val="center"/>
            </w:pPr>
            <w:r>
              <w:rPr>
                <w:b/>
              </w:rPr>
              <w:t>Mål 2024</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35D96F7A" w14:textId="77777777" w:rsidR="00CF1029" w:rsidRDefault="00823AFE">
            <w:pPr>
              <w:pStyle w:val="Tabellcell"/>
              <w:jc w:val="center"/>
            </w:pPr>
            <w:r>
              <w:rPr>
                <w:b/>
              </w:rPr>
              <w:t>Mål 2030</w:t>
            </w:r>
          </w:p>
        </w:tc>
      </w:tr>
      <w:tr w:rsidR="00CF1029" w14:paraId="579A4690" w14:textId="77777777">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Pr>
          <w:p w14:paraId="3524CB8A" w14:textId="77777777" w:rsidR="00CF1029" w:rsidRDefault="00823AFE">
            <w:pPr>
              <w:pStyle w:val="Tabellcell"/>
            </w:pPr>
            <w:r>
              <w:t>Utfall/mål för bolaget</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5FA146F8" w14:textId="77777777" w:rsidR="00CF1029" w:rsidRDefault="00823AFE">
            <w:pPr>
              <w:pStyle w:val="Tabellcell"/>
              <w:jc w:val="right"/>
            </w:pPr>
            <w:r>
              <w:t>8,6%</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92C9021" w14:textId="77777777" w:rsidR="00CF1029" w:rsidRDefault="00823AFE">
            <w:pPr>
              <w:pStyle w:val="Tabellcell"/>
              <w:jc w:val="right"/>
            </w:pPr>
            <w:r>
              <w:t>8,0%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DA21B61" w14:textId="77777777" w:rsidR="00CF1029" w:rsidRDefault="00823AFE">
            <w:pPr>
              <w:pStyle w:val="Tabellcell"/>
              <w:jc w:val="right"/>
            </w:pPr>
            <w:r>
              <w:t>7,5%</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5F012676" w14:textId="77777777" w:rsidR="00CF1029" w:rsidRDefault="00823AFE">
            <w:pPr>
              <w:pStyle w:val="Tabellcell"/>
              <w:jc w:val="right"/>
            </w:pPr>
            <w:r>
              <w:t>7,5%</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A2D6EFC" w14:textId="77777777" w:rsidR="00CF1029" w:rsidRDefault="00823AFE">
            <w:pPr>
              <w:pStyle w:val="Tabellcell"/>
              <w:jc w:val="right"/>
            </w:pPr>
            <w:r>
              <w:t>7,5%</w:t>
            </w:r>
          </w:p>
        </w:tc>
        <w:tc>
          <w:tcPr>
            <w:tcW w:w="979" w:type="dxa"/>
            <w:tcBorders>
              <w:top w:val="single" w:sz="4" w:space="0" w:color="auto"/>
              <w:left w:val="single" w:sz="4" w:space="0" w:color="auto"/>
              <w:bottom w:val="single" w:sz="4" w:space="0" w:color="auto"/>
              <w:right w:val="single" w:sz="4" w:space="0" w:color="auto"/>
            </w:tcBorders>
            <w:shd w:val="clear" w:color="auto" w:fill="FFFFFF"/>
          </w:tcPr>
          <w:p w14:paraId="4C078586" w14:textId="77777777" w:rsidR="00CF1029" w:rsidRDefault="00823AFE">
            <w:pPr>
              <w:pStyle w:val="Tabellcell"/>
              <w:jc w:val="right"/>
            </w:pPr>
            <w:r>
              <w:t>7,0%</w:t>
            </w:r>
          </w:p>
        </w:tc>
      </w:tr>
    </w:tbl>
    <w:p w14:paraId="5491D6D5" w14:textId="77777777" w:rsidR="00CF1029" w:rsidRDefault="00823AFE">
      <w:pPr>
        <w:pStyle w:val="Fotnot"/>
        <w:widowControl w:val="0"/>
      </w:pPr>
      <w:r>
        <w:t>HME: Ingen mätning 2020.</w:t>
      </w:r>
    </w:p>
    <w:p w14:paraId="79EB7F05" w14:textId="77777777" w:rsidR="00CF1029" w:rsidRDefault="00823AFE">
      <w:pPr>
        <w:pStyle w:val="BodyText"/>
        <w:widowControl w:val="0"/>
      </w:pPr>
      <w:r>
        <w:t> </w:t>
      </w:r>
    </w:p>
    <w:p w14:paraId="5A74D442" w14:textId="77777777" w:rsidR="00CF1029" w:rsidRDefault="00823AFE">
      <w:pPr>
        <w:pStyle w:val="BodyText"/>
        <w:widowControl w:val="0"/>
      </w:pPr>
      <w:r>
        <w:t> </w:t>
      </w:r>
    </w:p>
    <w:tbl>
      <w:tblPr>
        <w:tblStyle w:val="Tabellrutnt"/>
        <w:tblOverlap w:val="never"/>
        <w:tblW w:w="0" w:type="auto"/>
        <w:tblLayout w:type="fixed"/>
        <w:tblLook w:val="04A0" w:firstRow="1" w:lastRow="0" w:firstColumn="1" w:lastColumn="0" w:noHBand="0" w:noVBand="1"/>
      </w:tblPr>
      <w:tblGrid>
        <w:gridCol w:w="1361"/>
        <w:gridCol w:w="1644"/>
        <w:gridCol w:w="850"/>
        <w:gridCol w:w="907"/>
        <w:gridCol w:w="907"/>
        <w:gridCol w:w="850"/>
        <w:gridCol w:w="850"/>
      </w:tblGrid>
      <w:tr w:rsidR="00CF1029" w14:paraId="4F79463E" w14:textId="77777777">
        <w:trPr>
          <w:cantSplit w:val="0"/>
        </w:trPr>
        <w:tc>
          <w:tcPr>
            <w:tcW w:w="1361" w:type="dxa"/>
            <w:tcBorders>
              <w:top w:val="single" w:sz="4" w:space="0" w:color="auto"/>
              <w:left w:val="single" w:sz="4" w:space="0" w:color="auto"/>
              <w:bottom w:val="single" w:sz="18" w:space="0" w:color="auto"/>
              <w:right w:val="single" w:sz="4" w:space="0" w:color="auto"/>
            </w:tcBorders>
            <w:shd w:val="clear" w:color="auto" w:fill="E5E5E5"/>
            <w:vAlign w:val="center"/>
          </w:tcPr>
          <w:p w14:paraId="4EFFC21D" w14:textId="77777777" w:rsidR="00CF1029" w:rsidRDefault="00823AFE">
            <w:pPr>
              <w:pStyle w:val="Tabellcell"/>
            </w:pPr>
            <w:r>
              <w:rPr>
                <w:b/>
              </w:rPr>
              <w:t>Mål</w:t>
            </w:r>
          </w:p>
        </w:tc>
        <w:tc>
          <w:tcPr>
            <w:tcW w:w="1644" w:type="dxa"/>
            <w:tcBorders>
              <w:top w:val="single" w:sz="4" w:space="0" w:color="auto"/>
              <w:left w:val="single" w:sz="4" w:space="0" w:color="auto"/>
              <w:bottom w:val="single" w:sz="18" w:space="0" w:color="auto"/>
              <w:right w:val="single" w:sz="4" w:space="0" w:color="auto"/>
            </w:tcBorders>
            <w:shd w:val="clear" w:color="auto" w:fill="E5E5E5"/>
            <w:vAlign w:val="center"/>
          </w:tcPr>
          <w:p w14:paraId="44C6C015" w14:textId="77777777" w:rsidR="00CF1029" w:rsidRDefault="00823AFE">
            <w:pPr>
              <w:pStyle w:val="Tabellcell"/>
            </w:pPr>
            <w:r>
              <w:rPr>
                <w:b/>
              </w:rPr>
              <w:t>Indikator</w:t>
            </w:r>
          </w:p>
        </w:tc>
        <w:tc>
          <w:tcPr>
            <w:tcW w:w="850" w:type="dxa"/>
            <w:tcBorders>
              <w:top w:val="single" w:sz="4" w:space="0" w:color="auto"/>
              <w:left w:val="single" w:sz="4" w:space="0" w:color="auto"/>
              <w:bottom w:val="single" w:sz="18" w:space="0" w:color="auto"/>
              <w:right w:val="single" w:sz="4" w:space="0" w:color="auto"/>
            </w:tcBorders>
            <w:shd w:val="clear" w:color="auto" w:fill="E5E5E5"/>
            <w:vAlign w:val="center"/>
          </w:tcPr>
          <w:p w14:paraId="17C3AE89" w14:textId="77777777" w:rsidR="00CF1029" w:rsidRDefault="00823AFE">
            <w:pPr>
              <w:pStyle w:val="Tabellcell"/>
              <w:jc w:val="center"/>
            </w:pPr>
            <w:r>
              <w:rPr>
                <w:b/>
              </w:rPr>
              <w:t>Utfall 2022</w:t>
            </w:r>
          </w:p>
        </w:tc>
        <w:tc>
          <w:tcPr>
            <w:tcW w:w="907" w:type="dxa"/>
            <w:tcBorders>
              <w:top w:val="single" w:sz="4" w:space="0" w:color="auto"/>
              <w:left w:val="single" w:sz="4" w:space="0" w:color="auto"/>
              <w:bottom w:val="single" w:sz="18" w:space="0" w:color="auto"/>
              <w:right w:val="single" w:sz="4" w:space="0" w:color="auto"/>
            </w:tcBorders>
            <w:shd w:val="clear" w:color="auto" w:fill="E5E5E5"/>
            <w:vAlign w:val="center"/>
          </w:tcPr>
          <w:p w14:paraId="490B8D7E" w14:textId="77777777" w:rsidR="00CF1029" w:rsidRDefault="00823AFE">
            <w:pPr>
              <w:pStyle w:val="Tabellcell"/>
              <w:jc w:val="center"/>
            </w:pPr>
            <w:r>
              <w:rPr>
                <w:b/>
              </w:rPr>
              <w:t>Mål 2022</w:t>
            </w:r>
          </w:p>
        </w:tc>
        <w:tc>
          <w:tcPr>
            <w:tcW w:w="907" w:type="dxa"/>
            <w:tcBorders>
              <w:top w:val="single" w:sz="4" w:space="0" w:color="auto"/>
              <w:left w:val="single" w:sz="4" w:space="0" w:color="auto"/>
              <w:bottom w:val="single" w:sz="18" w:space="0" w:color="auto"/>
              <w:right w:val="single" w:sz="4" w:space="0" w:color="auto"/>
            </w:tcBorders>
            <w:shd w:val="clear" w:color="auto" w:fill="E5E5E5"/>
            <w:vAlign w:val="center"/>
          </w:tcPr>
          <w:p w14:paraId="5B3FFECD" w14:textId="77777777" w:rsidR="00CF1029" w:rsidRDefault="00823AFE">
            <w:pPr>
              <w:pStyle w:val="Tabellcell"/>
              <w:jc w:val="center"/>
            </w:pPr>
            <w:r>
              <w:rPr>
                <w:b/>
              </w:rPr>
              <w:t>Mål 2023</w:t>
            </w:r>
          </w:p>
        </w:tc>
        <w:tc>
          <w:tcPr>
            <w:tcW w:w="850" w:type="dxa"/>
            <w:tcBorders>
              <w:top w:val="single" w:sz="4" w:space="0" w:color="auto"/>
              <w:left w:val="single" w:sz="4" w:space="0" w:color="auto"/>
              <w:bottom w:val="single" w:sz="18" w:space="0" w:color="auto"/>
              <w:right w:val="single" w:sz="4" w:space="0" w:color="auto"/>
            </w:tcBorders>
            <w:shd w:val="clear" w:color="auto" w:fill="E5E5E5"/>
            <w:vAlign w:val="center"/>
          </w:tcPr>
          <w:p w14:paraId="411EEB1E" w14:textId="77777777" w:rsidR="00CF1029" w:rsidRDefault="00823AFE">
            <w:pPr>
              <w:pStyle w:val="Tabellcell"/>
              <w:jc w:val="center"/>
            </w:pPr>
            <w:r>
              <w:rPr>
                <w:b/>
              </w:rPr>
              <w:t>Mål 2024</w:t>
            </w:r>
          </w:p>
        </w:tc>
        <w:tc>
          <w:tcPr>
            <w:tcW w:w="850" w:type="dxa"/>
            <w:tcBorders>
              <w:top w:val="single" w:sz="4" w:space="0" w:color="auto"/>
              <w:left w:val="single" w:sz="4" w:space="0" w:color="auto"/>
              <w:bottom w:val="single" w:sz="18" w:space="0" w:color="auto"/>
              <w:right w:val="single" w:sz="4" w:space="0" w:color="auto"/>
            </w:tcBorders>
            <w:shd w:val="clear" w:color="auto" w:fill="E5E5E5"/>
            <w:vAlign w:val="center"/>
          </w:tcPr>
          <w:p w14:paraId="5A2EC646" w14:textId="77777777" w:rsidR="00CF1029" w:rsidRDefault="00823AFE">
            <w:pPr>
              <w:pStyle w:val="Tabellcell"/>
              <w:jc w:val="center"/>
            </w:pPr>
            <w:r>
              <w:rPr>
                <w:b/>
              </w:rPr>
              <w:t>Mål 2030</w:t>
            </w:r>
          </w:p>
        </w:tc>
      </w:tr>
      <w:tr w:rsidR="00CF1029" w14:paraId="7942BE00" w14:textId="77777777">
        <w:trPr>
          <w:cantSplit w:val="0"/>
        </w:trPr>
        <w:tc>
          <w:tcPr>
            <w:tcW w:w="1361" w:type="dxa"/>
            <w:tcBorders>
              <w:top w:val="single" w:sz="18" w:space="0" w:color="auto"/>
              <w:left w:val="single" w:sz="4" w:space="0" w:color="auto"/>
              <w:bottom w:val="single" w:sz="4" w:space="0" w:color="auto"/>
              <w:right w:val="single" w:sz="4" w:space="0" w:color="auto"/>
            </w:tcBorders>
            <w:shd w:val="clear" w:color="auto" w:fill="FFFFFF"/>
          </w:tcPr>
          <w:p w14:paraId="7A88980E" w14:textId="77777777" w:rsidR="00CF1029" w:rsidRDefault="00823AFE">
            <w:pPr>
              <w:pStyle w:val="Tabellcell"/>
            </w:pPr>
            <w:r>
              <w:t>Gbg Stad Övergripande mål nr. 1</w:t>
            </w:r>
          </w:p>
        </w:tc>
        <w:tc>
          <w:tcPr>
            <w:tcW w:w="1644" w:type="dxa"/>
            <w:tcBorders>
              <w:top w:val="single" w:sz="18" w:space="0" w:color="auto"/>
              <w:left w:val="single" w:sz="4" w:space="0" w:color="auto"/>
              <w:bottom w:val="single" w:sz="4" w:space="0" w:color="auto"/>
              <w:right w:val="single" w:sz="4" w:space="0" w:color="auto"/>
            </w:tcBorders>
            <w:shd w:val="clear" w:color="auto" w:fill="FFFFFF"/>
          </w:tcPr>
          <w:p w14:paraId="653E41A0" w14:textId="77777777" w:rsidR="00CF1029" w:rsidRDefault="00823AFE">
            <w:pPr>
              <w:pStyle w:val="Tabellcell"/>
            </w:pPr>
            <w:r>
              <w:t>1.6 Göteborg Stad är en jämlik stad med gemenskap och tillit -&gt; Trafikservicegrad</w:t>
            </w:r>
          </w:p>
        </w:tc>
        <w:tc>
          <w:tcPr>
            <w:tcW w:w="850" w:type="dxa"/>
            <w:tcBorders>
              <w:top w:val="single" w:sz="18" w:space="0" w:color="auto"/>
              <w:left w:val="single" w:sz="4" w:space="0" w:color="auto"/>
              <w:bottom w:val="single" w:sz="4" w:space="0" w:color="auto"/>
              <w:right w:val="single" w:sz="4" w:space="0" w:color="auto"/>
            </w:tcBorders>
            <w:shd w:val="clear" w:color="auto" w:fill="FFFFFF"/>
          </w:tcPr>
          <w:p w14:paraId="206890BC" w14:textId="77777777" w:rsidR="00CF1029" w:rsidRDefault="00823AFE">
            <w:pPr>
              <w:pStyle w:val="Tabellcell"/>
              <w:jc w:val="center"/>
            </w:pPr>
            <w:r>
              <w:t>95%</w:t>
            </w:r>
          </w:p>
        </w:tc>
        <w:tc>
          <w:tcPr>
            <w:tcW w:w="907" w:type="dxa"/>
            <w:tcBorders>
              <w:top w:val="single" w:sz="18" w:space="0" w:color="auto"/>
              <w:left w:val="single" w:sz="4" w:space="0" w:color="auto"/>
              <w:bottom w:val="single" w:sz="4" w:space="0" w:color="auto"/>
              <w:right w:val="single" w:sz="4" w:space="0" w:color="auto"/>
            </w:tcBorders>
            <w:shd w:val="clear" w:color="auto" w:fill="FFFFFF"/>
          </w:tcPr>
          <w:p w14:paraId="66854E91" w14:textId="77777777" w:rsidR="00CF1029" w:rsidRDefault="00823AFE">
            <w:pPr>
              <w:pStyle w:val="Tabellcell"/>
              <w:jc w:val="center"/>
            </w:pPr>
            <w:r>
              <w:t>96%</w:t>
            </w:r>
          </w:p>
        </w:tc>
        <w:tc>
          <w:tcPr>
            <w:tcW w:w="907" w:type="dxa"/>
            <w:tcBorders>
              <w:top w:val="single" w:sz="18" w:space="0" w:color="auto"/>
              <w:left w:val="single" w:sz="4" w:space="0" w:color="auto"/>
              <w:bottom w:val="single" w:sz="4" w:space="0" w:color="auto"/>
              <w:right w:val="single" w:sz="4" w:space="0" w:color="auto"/>
            </w:tcBorders>
            <w:shd w:val="clear" w:color="auto" w:fill="FFFFFF"/>
          </w:tcPr>
          <w:p w14:paraId="2323FB73" w14:textId="77777777" w:rsidR="00CF1029" w:rsidRDefault="00823AFE">
            <w:pPr>
              <w:pStyle w:val="Tabellcell"/>
              <w:jc w:val="center"/>
            </w:pPr>
            <w:r>
              <w:t>95%</w:t>
            </w:r>
          </w:p>
        </w:tc>
        <w:tc>
          <w:tcPr>
            <w:tcW w:w="850" w:type="dxa"/>
            <w:tcBorders>
              <w:top w:val="single" w:sz="18" w:space="0" w:color="auto"/>
              <w:left w:val="single" w:sz="4" w:space="0" w:color="auto"/>
              <w:bottom w:val="single" w:sz="4" w:space="0" w:color="auto"/>
              <w:right w:val="single" w:sz="4" w:space="0" w:color="auto"/>
            </w:tcBorders>
            <w:shd w:val="clear" w:color="auto" w:fill="FFFFFF"/>
          </w:tcPr>
          <w:p w14:paraId="36723E66" w14:textId="77777777" w:rsidR="00CF1029" w:rsidRDefault="00823AFE">
            <w:pPr>
              <w:pStyle w:val="Tabellcell"/>
              <w:jc w:val="center"/>
            </w:pPr>
            <w:r>
              <w:t>96%</w:t>
            </w:r>
          </w:p>
        </w:tc>
        <w:tc>
          <w:tcPr>
            <w:tcW w:w="850" w:type="dxa"/>
            <w:tcBorders>
              <w:top w:val="single" w:sz="18" w:space="0" w:color="auto"/>
              <w:left w:val="single" w:sz="4" w:space="0" w:color="auto"/>
              <w:bottom w:val="single" w:sz="4" w:space="0" w:color="auto"/>
              <w:right w:val="single" w:sz="4" w:space="0" w:color="auto"/>
            </w:tcBorders>
            <w:shd w:val="clear" w:color="auto" w:fill="FFFFFF"/>
          </w:tcPr>
          <w:p w14:paraId="57D09DCE" w14:textId="77777777" w:rsidR="00CF1029" w:rsidRDefault="00823AFE">
            <w:pPr>
              <w:pStyle w:val="Tabellcell"/>
              <w:jc w:val="center"/>
            </w:pPr>
            <w:r>
              <w:t>99%</w:t>
            </w:r>
          </w:p>
        </w:tc>
      </w:tr>
      <w:tr w:rsidR="00CF1029" w14:paraId="212E9E7E"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FFFFFF"/>
          </w:tcPr>
          <w:p w14:paraId="108001DC" w14:textId="77777777" w:rsidR="00CF1029" w:rsidRDefault="00823AFE">
            <w:pPr>
              <w:pStyle w:val="Tabellcell"/>
            </w:pPr>
            <w:r>
              <w:t>Gbg Stad Övergripande mål nr. 2</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19D41224" w14:textId="77777777" w:rsidR="00CF1029" w:rsidRDefault="00823AFE">
            <w:pPr>
              <w:pStyle w:val="Tabellcell"/>
            </w:pPr>
            <w:r>
              <w:t>2.1 Göteborg Stad tar ansvar för kommande generationers livskvalitet -&gt; Fossilfri fordonsflotta</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8B1E9" w14:textId="77777777" w:rsidR="00CF1029" w:rsidRDefault="00823AFE">
            <w:pPr>
              <w:pStyle w:val="Tabellcell"/>
              <w:jc w:val="center"/>
            </w:pPr>
            <w:r>
              <w:t>97%</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95E38BE" w14:textId="77777777" w:rsidR="00CF1029" w:rsidRDefault="00823AFE">
            <w:pPr>
              <w:pStyle w:val="Tabellcell"/>
              <w:jc w:val="center"/>
            </w:pPr>
            <w:r>
              <w:t>97%</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EB3D006" w14:textId="77777777" w:rsidR="00CF1029" w:rsidRDefault="00823AFE">
            <w:pPr>
              <w:pStyle w:val="Tabellcell"/>
              <w:jc w:val="center"/>
            </w:pPr>
            <w:r>
              <w:t>97%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34071D0" w14:textId="77777777" w:rsidR="00CF1029" w:rsidRDefault="00823AFE">
            <w:pPr>
              <w:pStyle w:val="Tabellcell"/>
              <w:jc w:val="center"/>
            </w:pPr>
            <w:r>
              <w:t>97%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A5B0729" w14:textId="77777777" w:rsidR="00CF1029" w:rsidRDefault="00823AFE">
            <w:pPr>
              <w:pStyle w:val="Tabellcell"/>
              <w:jc w:val="center"/>
            </w:pPr>
            <w:r>
              <w:t>100%</w:t>
            </w:r>
          </w:p>
        </w:tc>
      </w:tr>
      <w:tr w:rsidR="00CF1029" w14:paraId="0C05788E"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FFFFFF"/>
          </w:tcPr>
          <w:p w14:paraId="1482FF26" w14:textId="77777777" w:rsidR="00CF1029" w:rsidRDefault="00823AFE">
            <w:pPr>
              <w:pStyle w:val="Tabellcell"/>
            </w:pPr>
            <w:r>
              <w:t>Gbg Stad Övergripande mål nr. 2</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00831133" w14:textId="77777777" w:rsidR="00CF1029" w:rsidRDefault="00823AFE">
            <w:pPr>
              <w:pStyle w:val="Tabellcell"/>
            </w:pPr>
            <w:r>
              <w:t>2.2 Göteborg Stad är en stad med hållbar mobilitet och god framkomlighet -&gt; Resande-utveckling, delresor, miljoner</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F379470" w14:textId="77777777" w:rsidR="00CF1029" w:rsidRDefault="00823AFE">
            <w:pPr>
              <w:pStyle w:val="Tabellcell"/>
              <w:jc w:val="center"/>
            </w:pPr>
            <w:r>
              <w:t>119</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2466E65" w14:textId="77777777" w:rsidR="00CF1029" w:rsidRDefault="00823AFE">
            <w:pPr>
              <w:pStyle w:val="Tabellcell"/>
              <w:jc w:val="center"/>
            </w:pPr>
            <w:r>
              <w:t>108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305F899" w14:textId="77777777" w:rsidR="00CF1029" w:rsidRDefault="00823AFE">
            <w:pPr>
              <w:pStyle w:val="Tabellcell"/>
              <w:jc w:val="center"/>
            </w:pPr>
            <w:r>
              <w:t>134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71EF29A" w14:textId="77777777" w:rsidR="00CF1029" w:rsidRDefault="00823AFE">
            <w:pPr>
              <w:pStyle w:val="Tabellcell"/>
              <w:jc w:val="center"/>
            </w:pPr>
            <w:r>
              <w:t>141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4DE2E1" w14:textId="77777777" w:rsidR="00CF1029" w:rsidRDefault="00823AFE">
            <w:pPr>
              <w:pStyle w:val="Tabellcell"/>
              <w:jc w:val="center"/>
            </w:pPr>
            <w:r>
              <w:t>180</w:t>
            </w:r>
          </w:p>
        </w:tc>
      </w:tr>
      <w:tr w:rsidR="00CF1029" w14:paraId="09B5402F"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FFFFFF"/>
          </w:tcPr>
          <w:p w14:paraId="48EE9682" w14:textId="77777777" w:rsidR="00CF1029" w:rsidRDefault="00823AFE">
            <w:pPr>
              <w:pStyle w:val="Tabellcell"/>
            </w:pPr>
            <w:r>
              <w:t>Gbg Stad Övergripande mål nr. 2</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0410D88A" w14:textId="77777777" w:rsidR="00CF1029" w:rsidRDefault="00823AFE">
            <w:pPr>
              <w:pStyle w:val="Tabellcell"/>
            </w:pPr>
            <w:r>
              <w:t xml:space="preserve">2.2 Göteborg Stad är en stad med hållbar mobilitet och god framkomlighet -&gt; </w:t>
            </w:r>
            <w:proofErr w:type="spellStart"/>
            <w:r>
              <w:t>Reshastighet</w:t>
            </w:r>
            <w:proofErr w:type="spellEnd"/>
            <w:r>
              <w:t xml:space="preserve"> högtrafik i city</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4FDB69" w14:textId="77777777" w:rsidR="00CF1029" w:rsidRDefault="00823AFE">
            <w:pPr>
              <w:pStyle w:val="Tabellcell"/>
              <w:jc w:val="center"/>
            </w:pPr>
            <w:r>
              <w:t>10,5 km/h</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3A1043E" w14:textId="77777777" w:rsidR="00CF1029" w:rsidRDefault="00823AFE">
            <w:pPr>
              <w:pStyle w:val="Tabellcell"/>
              <w:jc w:val="center"/>
            </w:pPr>
            <w:r>
              <w:t>10,5 km/h</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32C81BC" w14:textId="77777777" w:rsidR="00CF1029" w:rsidRDefault="00823AFE">
            <w:pPr>
              <w:pStyle w:val="Tabellcell"/>
              <w:jc w:val="center"/>
            </w:pPr>
            <w:r>
              <w:t>10,5 km/h</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79E084" w14:textId="77777777" w:rsidR="00CF1029" w:rsidRDefault="00823AFE">
            <w:pPr>
              <w:pStyle w:val="Tabellcell"/>
              <w:jc w:val="center"/>
            </w:pPr>
            <w:r>
              <w:t>10,5 km/h</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7A6EBE9" w14:textId="77777777" w:rsidR="00CF1029" w:rsidRDefault="00823AFE">
            <w:pPr>
              <w:pStyle w:val="Tabellcell"/>
              <w:jc w:val="center"/>
            </w:pPr>
            <w:r>
              <w:t>15 km/h</w:t>
            </w:r>
          </w:p>
        </w:tc>
      </w:tr>
      <w:tr w:rsidR="00CF1029" w14:paraId="2BFE81FB"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FFFFFF"/>
          </w:tcPr>
          <w:p w14:paraId="096C0C31" w14:textId="77777777" w:rsidR="00CF1029" w:rsidRDefault="00823AFE">
            <w:pPr>
              <w:pStyle w:val="Tabellcell"/>
            </w:pPr>
            <w:r>
              <w:lastRenderedPageBreak/>
              <w:t>Gbg Stad Övergripande mål nr. 3</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111C615C" w14:textId="77777777" w:rsidR="00CF1029" w:rsidRDefault="00823AFE">
            <w:pPr>
              <w:pStyle w:val="Tabellcell"/>
            </w:pPr>
            <w:r>
              <w:t>3.3 Göteborg Stad är en attraktiv arbetsgivare med goda arbetsvillkor -&gt; HME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CFCAAF" w14:textId="77777777" w:rsidR="00CF1029" w:rsidRDefault="00823AFE">
            <w:pPr>
              <w:pStyle w:val="Tabellcell"/>
              <w:jc w:val="center"/>
            </w:pPr>
            <w:r>
              <w:t>73</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69F6142" w14:textId="77777777" w:rsidR="00CF1029" w:rsidRDefault="00823AFE">
            <w:pPr>
              <w:pStyle w:val="Tabellcell"/>
              <w:jc w:val="center"/>
            </w:pPr>
            <w:r>
              <w:t>74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B62F7F8" w14:textId="77777777" w:rsidR="00CF1029" w:rsidRDefault="00823AFE">
            <w:pPr>
              <w:pStyle w:val="Tabellcell"/>
              <w:jc w:val="center"/>
            </w:pPr>
            <w:r>
              <w:t>74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ECFBA83" w14:textId="77777777" w:rsidR="00CF1029" w:rsidRDefault="00823AFE">
            <w:pPr>
              <w:pStyle w:val="Tabellcell"/>
              <w:jc w:val="center"/>
            </w:pPr>
            <w:r>
              <w:t>78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331020" w14:textId="77777777" w:rsidR="00CF1029" w:rsidRDefault="00823AFE">
            <w:pPr>
              <w:pStyle w:val="Tabellcell"/>
              <w:jc w:val="center"/>
            </w:pPr>
            <w:r>
              <w:t>80</w:t>
            </w:r>
          </w:p>
        </w:tc>
      </w:tr>
      <w:tr w:rsidR="00CF1029" w14:paraId="06474E6D"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FFFFFF"/>
          </w:tcPr>
          <w:p w14:paraId="5DCD3274" w14:textId="77777777" w:rsidR="00CF1029" w:rsidRDefault="00823AFE">
            <w:pPr>
              <w:pStyle w:val="Tabellcell"/>
            </w:pPr>
            <w:r>
              <w:t>Gbg Stad Övergripande mål nr. 3</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241575CB" w14:textId="77777777" w:rsidR="00CF1029" w:rsidRDefault="00823AFE">
            <w:pPr>
              <w:pStyle w:val="Tabellcell"/>
            </w:pPr>
            <w:r>
              <w:t>3.3 Göteborg Stad är en attraktiv arbetsgivare med goda arbetsvillkor -&gt; Sjukfrånvaro</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54A491" w14:textId="77777777" w:rsidR="00CF1029" w:rsidRDefault="00823AFE">
            <w:pPr>
              <w:pStyle w:val="Tabellcell"/>
              <w:jc w:val="center"/>
            </w:pPr>
            <w:r>
              <w:t>7,5%</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83A34E0" w14:textId="77777777" w:rsidR="00CF1029" w:rsidRDefault="00823AFE">
            <w:pPr>
              <w:pStyle w:val="Tabellcell"/>
              <w:jc w:val="center"/>
            </w:pPr>
            <w:r>
              <w:t>8,0%</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C0B6C49" w14:textId="77777777" w:rsidR="00CF1029" w:rsidRDefault="00823AFE">
            <w:pPr>
              <w:pStyle w:val="Tabellcell"/>
              <w:jc w:val="center"/>
            </w:pPr>
            <w:r>
              <w:t>7,5%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461079" w14:textId="77777777" w:rsidR="00CF1029" w:rsidRDefault="00823AFE">
            <w:pPr>
              <w:pStyle w:val="Tabellcell"/>
              <w:jc w:val="center"/>
            </w:pPr>
            <w:r>
              <w:t>7,5%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3F2D7A3" w14:textId="77777777" w:rsidR="00CF1029" w:rsidRDefault="00823AFE">
            <w:pPr>
              <w:pStyle w:val="Tabellcell"/>
              <w:jc w:val="center"/>
            </w:pPr>
            <w:r>
              <w:t>7,0%</w:t>
            </w:r>
          </w:p>
        </w:tc>
      </w:tr>
    </w:tbl>
    <w:p w14:paraId="789866A3" w14:textId="77777777" w:rsidR="00CF1029" w:rsidRDefault="00823AFE">
      <w:pPr>
        <w:pStyle w:val="Rubrik1-Sidbryt"/>
      </w:pPr>
      <w:bookmarkStart w:id="8" w:name="_Toc132262484"/>
      <w:r>
        <w:lastRenderedPageBreak/>
        <w:t>Övrig uppföljning till kommunstyrelsen</w:t>
      </w:r>
      <w:bookmarkEnd w:id="8"/>
    </w:p>
    <w:p w14:paraId="09A68084" w14:textId="77777777" w:rsidR="00CF1029" w:rsidRDefault="00823AFE">
      <w:pPr>
        <w:pStyle w:val="Rubrik2"/>
      </w:pPr>
      <w:bookmarkStart w:id="9" w:name="_Toc132262485"/>
      <w:r>
        <w:t>Utveckling inom personalområdet</w:t>
      </w:r>
      <w:bookmarkEnd w:id="9"/>
    </w:p>
    <w:p w14:paraId="539D00D3" w14:textId="77777777" w:rsidR="00CF1029" w:rsidRDefault="00823AFE">
      <w:pPr>
        <w:pStyle w:val="Rubrik3"/>
      </w:pPr>
      <w:bookmarkStart w:id="10" w:name="_Toc132262486"/>
      <w:r>
        <w:t>Mått/nyckeltal som beskriver utvecklingen ur ett HR-perspektiv</w:t>
      </w:r>
      <w:bookmarkEnd w:id="10"/>
    </w:p>
    <w:tbl>
      <w:tblPr>
        <w:tblStyle w:val="Tabellrutnt"/>
        <w:tblOverlap w:val="never"/>
        <w:tblW w:w="0" w:type="auto"/>
        <w:tblLook w:val="04A0" w:firstRow="1" w:lastRow="0" w:firstColumn="1" w:lastColumn="0" w:noHBand="0" w:noVBand="1"/>
      </w:tblPr>
      <w:tblGrid>
        <w:gridCol w:w="1915"/>
        <w:gridCol w:w="1336"/>
        <w:gridCol w:w="1421"/>
        <w:gridCol w:w="1365"/>
        <w:gridCol w:w="1323"/>
      </w:tblGrid>
      <w:tr w:rsidR="00CF1029" w14:paraId="486FE0FB" w14:textId="77777777">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49357352" w14:textId="77777777" w:rsidR="00CF1029" w:rsidRDefault="00823AFE">
            <w:pPr>
              <w:pStyle w:val="Tabellcell"/>
            </w:pPr>
            <w:r>
              <w:rPr>
                <w:b/>
              </w:rPr>
              <w:t> </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2295F45F" w14:textId="77777777" w:rsidR="00CF1029" w:rsidRDefault="00823AFE">
            <w:pPr>
              <w:pStyle w:val="Tabellcell"/>
              <w:jc w:val="center"/>
            </w:pPr>
            <w:r>
              <w:rPr>
                <w:b/>
              </w:rPr>
              <w:t>Aktuell period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6DCCA358" w14:textId="77777777" w:rsidR="00CF1029" w:rsidRDefault="00823AFE">
            <w:pPr>
              <w:pStyle w:val="Tabellcell"/>
              <w:jc w:val="center"/>
            </w:pPr>
            <w:r>
              <w:rPr>
                <w:b/>
              </w:rPr>
              <w:t>Aktuell period föregående år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5EA36812" w14:textId="77777777" w:rsidR="00CF1029" w:rsidRDefault="00823AFE">
            <w:pPr>
              <w:pStyle w:val="Tabellcell"/>
              <w:jc w:val="center"/>
            </w:pPr>
            <w:r>
              <w:rPr>
                <w:b/>
              </w:rPr>
              <w:t>Prognos 2023</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3DDC532E" w14:textId="77777777" w:rsidR="00CF1029" w:rsidRDefault="00823AFE">
            <w:pPr>
              <w:pStyle w:val="Tabellcell"/>
              <w:jc w:val="center"/>
            </w:pPr>
            <w:r>
              <w:rPr>
                <w:b/>
              </w:rPr>
              <w:t>Utfall dec 2022</w:t>
            </w:r>
          </w:p>
        </w:tc>
      </w:tr>
      <w:tr w:rsidR="00CF1029" w14:paraId="73923997" w14:textId="77777777">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0716CBCA" w14:textId="77777777" w:rsidR="00CF1029" w:rsidRDefault="00823AFE">
            <w:pPr>
              <w:pStyle w:val="Tabellcell"/>
            </w:pPr>
            <w:r>
              <w:t>Antal årsarbetare</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1094A641" w14:textId="77777777" w:rsidR="00CF1029" w:rsidRDefault="00823AFE">
            <w:pPr>
              <w:pStyle w:val="Tabellcell"/>
              <w:jc w:val="right"/>
            </w:pPr>
            <w:r>
              <w:t>211,4</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31BAC2FD" w14:textId="77777777" w:rsidR="00CF1029" w:rsidRDefault="00823AFE">
            <w:pPr>
              <w:pStyle w:val="Tabellcell"/>
              <w:jc w:val="right"/>
            </w:pPr>
            <w:r>
              <w:t>197,3</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64D7204D" w14:textId="77777777" w:rsidR="00CF1029" w:rsidRDefault="00823AFE">
            <w:pPr>
              <w:pStyle w:val="Tabellcell"/>
              <w:jc w:val="right"/>
            </w:pPr>
            <w:r>
              <w:t>1300</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2BFF1340" w14:textId="77777777" w:rsidR="00CF1029" w:rsidRDefault="00823AFE">
            <w:pPr>
              <w:pStyle w:val="Tabellcell"/>
              <w:jc w:val="right"/>
            </w:pPr>
            <w:r>
              <w:t>1228,8</w:t>
            </w:r>
          </w:p>
        </w:tc>
      </w:tr>
      <w:tr w:rsidR="00CF1029" w14:paraId="29D37EEE"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4BB850AA" w14:textId="77777777" w:rsidR="00CF1029" w:rsidRDefault="00823AFE">
            <w:pPr>
              <w:pStyle w:val="Tabellcell"/>
            </w:pPr>
            <w:r>
              <w:t>Total sjukfrånvaro (%)</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78FB5881" w14:textId="77777777" w:rsidR="00CF1029" w:rsidRDefault="00823AFE">
            <w:pPr>
              <w:pStyle w:val="Tabellcell"/>
              <w:jc w:val="right"/>
            </w:pPr>
            <w:r>
              <w:t>6,7</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5D7F4965" w14:textId="77777777" w:rsidR="00CF1029" w:rsidRDefault="00823AFE">
            <w:pPr>
              <w:pStyle w:val="Tabellcell"/>
              <w:jc w:val="right"/>
            </w:pPr>
            <w:r>
              <w:t>10,9</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772F7D55" w14:textId="77777777" w:rsidR="00CF1029" w:rsidRDefault="00823AFE">
            <w:pPr>
              <w:pStyle w:val="Tabellcell"/>
              <w:jc w:val="right"/>
            </w:pPr>
            <w:r>
              <w:t>7</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73E81751" w14:textId="77777777" w:rsidR="00CF1029" w:rsidRDefault="00823AFE">
            <w:pPr>
              <w:pStyle w:val="Tabellcell"/>
              <w:jc w:val="right"/>
            </w:pPr>
            <w:r>
              <w:t>7,5</w:t>
            </w:r>
          </w:p>
        </w:tc>
      </w:tr>
      <w:tr w:rsidR="00CF1029" w14:paraId="62BB797E"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31B937B8" w14:textId="77777777" w:rsidR="00CF1029" w:rsidRDefault="00823AFE">
            <w:pPr>
              <w:pStyle w:val="Tabellcell"/>
            </w:pPr>
            <w:r>
              <w:t>Antal tillsvidareanställda bolagsexterna avgångar</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299B5DB8" w14:textId="77777777" w:rsidR="00CF1029" w:rsidRDefault="00823AFE">
            <w:pPr>
              <w:pStyle w:val="Tabellcell"/>
              <w:jc w:val="right"/>
            </w:pPr>
            <w:r>
              <w:t>21</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48672772" w14:textId="77777777" w:rsidR="00CF1029" w:rsidRDefault="00823AFE">
            <w:pPr>
              <w:pStyle w:val="Tabellcell"/>
              <w:jc w:val="right"/>
            </w:pPr>
            <w:r>
              <w:t>10</w:t>
            </w:r>
          </w:p>
        </w:tc>
        <w:tc>
          <w:tcPr>
            <w:tcW w:w="1474"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386124D2" w14:textId="77777777" w:rsidR="00CF1029" w:rsidRDefault="00CF1029">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01CE4F0E" w14:textId="77777777" w:rsidR="00CF1029" w:rsidRDefault="00CF1029">
            <w:pPr>
              <w:pStyle w:val="Tabellcell"/>
            </w:pPr>
          </w:p>
        </w:tc>
      </w:tr>
      <w:tr w:rsidR="00CF1029" w14:paraId="2EE8F714"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4D30B376" w14:textId="77777777" w:rsidR="00CF1029" w:rsidRDefault="00823AFE">
            <w:pPr>
              <w:pStyle w:val="Tabellcell"/>
            </w:pPr>
            <w:r>
              <w:t>Antal tillsvidareanställda bolagsexterna rekryteringar</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60619ACB" w14:textId="77777777" w:rsidR="00CF1029" w:rsidRDefault="00823AFE">
            <w:pPr>
              <w:pStyle w:val="Tabellcell"/>
              <w:jc w:val="right"/>
            </w:pPr>
            <w:r>
              <w:t>17</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1B7C514A" w14:textId="77777777" w:rsidR="00CF1029" w:rsidRDefault="00823AFE">
            <w:pPr>
              <w:pStyle w:val="Tabellcell"/>
              <w:jc w:val="right"/>
            </w:pPr>
            <w:r>
              <w:t>17</w:t>
            </w:r>
          </w:p>
        </w:tc>
        <w:tc>
          <w:tcPr>
            <w:tcW w:w="1474"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0B473ACF" w14:textId="77777777" w:rsidR="00CF1029" w:rsidRDefault="00CF1029">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46A7D025" w14:textId="77777777" w:rsidR="00CF1029" w:rsidRDefault="00CF1029">
            <w:pPr>
              <w:pStyle w:val="Tabellcell"/>
            </w:pPr>
          </w:p>
        </w:tc>
      </w:tr>
      <w:tr w:rsidR="00CF1029" w14:paraId="60377FFB"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3A5B99BA" w14:textId="77777777" w:rsidR="00CF1029" w:rsidRDefault="00823AFE">
            <w:pPr>
              <w:pStyle w:val="Tabellcell"/>
            </w:pPr>
            <w:r>
              <w:t>Bolagsextern personalomsättning* (%)</w:t>
            </w:r>
          </w:p>
        </w:tc>
        <w:tc>
          <w:tcPr>
            <w:tcW w:w="1474"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672537C7" w14:textId="77777777" w:rsidR="00CF1029" w:rsidRDefault="00CF1029">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19D9CAE0" w14:textId="77777777" w:rsidR="00CF1029" w:rsidRDefault="00CF1029">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5348B756" w14:textId="77777777" w:rsidR="00CF1029" w:rsidRDefault="00823AFE">
            <w:pPr>
              <w:pStyle w:val="Tabellcell"/>
              <w:jc w:val="right"/>
            </w:pPr>
            <w:r>
              <w:t>10</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27AE2E6B" w14:textId="77777777" w:rsidR="00CF1029" w:rsidRDefault="00823AFE">
            <w:pPr>
              <w:pStyle w:val="Tabellcell"/>
              <w:jc w:val="right"/>
            </w:pPr>
            <w:r>
              <w:t>8,7</w:t>
            </w:r>
          </w:p>
        </w:tc>
      </w:tr>
    </w:tbl>
    <w:p w14:paraId="4C35BA77" w14:textId="77777777" w:rsidR="00CF1029" w:rsidRDefault="00823AFE">
      <w:pPr>
        <w:pStyle w:val="BodyText"/>
        <w:widowControl w:val="0"/>
        <w:spacing w:before="160"/>
      </w:pPr>
      <w:r>
        <w:t>Kort sjukfrånvaro (</w:t>
      </w:r>
      <w:proofErr w:type="gramStart"/>
      <w:r>
        <w:t>1-14</w:t>
      </w:r>
      <w:proofErr w:type="gramEnd"/>
      <w:r>
        <w:t xml:space="preserve"> dagar) är inte längre påverkad av pandemi eller rekommendation att stanna hemma vid förkylningssymtom vilket påverkar sjuktalen positivt. Högst sjukfrånvaro finns i bolagets största yrkesgrupp - spårvagnsförare - där sjukfrånvaron uppgår till 9,2 %. Bolaget arbetar med förebyggande och främjande åtgärder för att minska sjuktalen.</w:t>
      </w:r>
    </w:p>
    <w:p w14:paraId="443F51DA" w14:textId="77777777" w:rsidR="00CF1029" w:rsidRDefault="00823AFE">
      <w:pPr>
        <w:pStyle w:val="BodyText"/>
        <w:widowControl w:val="0"/>
      </w:pPr>
      <w:r>
        <w:t xml:space="preserve">Under årets första månader har fler avgått externt än tidigare år. Under 2020 och 2021 avgick 16 personer under samma period. Vid jämförelse även med äldre siffror syns 2022 som en tillfällig avvikelse med lägre avgång och 2023 mer som ett normalår. Bolaget har dock utmaningar i att rekrytera, utbilda och behålla kompetent personal </w:t>
      </w:r>
      <w:proofErr w:type="gramStart"/>
      <w:r>
        <w:t>framförallt</w:t>
      </w:r>
      <w:proofErr w:type="gramEnd"/>
      <w:r>
        <w:t xml:space="preserve"> i yrkesgrupperna spårvagnsförare och tekniker och en lägre omsättning vore positiv. Prognosen för 2023 tar hänsyn till de utmaningar i arbetsmiljö som finns i trafik- och vagnsmiljö.</w:t>
      </w:r>
    </w:p>
    <w:p w14:paraId="4C34043E" w14:textId="77777777" w:rsidR="00CF1029" w:rsidRDefault="00823AFE">
      <w:pPr>
        <w:pStyle w:val="Rubrik3"/>
      </w:pPr>
      <w:bookmarkStart w:id="11" w:name="_Toc132262487"/>
      <w:r>
        <w:t>Analys av situationen inom HR-området</w:t>
      </w:r>
      <w:bookmarkEnd w:id="11"/>
    </w:p>
    <w:p w14:paraId="02939585" w14:textId="77777777" w:rsidR="00CF1029" w:rsidRDefault="00823AFE">
      <w:pPr>
        <w:pStyle w:val="BodyText"/>
        <w:widowControl w:val="0"/>
      </w:pPr>
      <w:r>
        <w:t xml:space="preserve">Bolagets medarbetarenkät har precis genomförts med god svarsfrekvens på 75 %. HME på bolagsnivå är 73 vilket är något lägre än stadens snitt. HME har legat stabilt på samma nivå de senaste tre åren. Inom de valda förbättringsområdena Organisatorisk tillit och Intern kommunikation syns tydliga förbättringar jämfört med föregående år. Bolaget kommer dock att fortsätta fokusera på dessa områden för att nå än högre resultat. Resultatet visar att medarbetarna i hög utsträckning </w:t>
      </w:r>
      <w:r>
        <w:lastRenderedPageBreak/>
        <w:t>känner sig trygga i sin arbetsmiljö. Det finns dock fortsatt utfall som visar att medarbetare upplever att de på något sätt blivit utsatta av chefer eller kollegor i det dagliga arbetet. Under hösten planeras en bolagsövergripande insats för att förebygga kränkningar, diskriminering och sexuella trakasserier i arbetsmiljön.</w:t>
      </w:r>
    </w:p>
    <w:p w14:paraId="72DBBE5E" w14:textId="77777777" w:rsidR="00CF1029" w:rsidRDefault="00823AFE">
      <w:pPr>
        <w:pStyle w:val="BodyText"/>
        <w:widowControl w:val="0"/>
      </w:pPr>
      <w:r>
        <w:t>I enkäten och i avvikelsehanteringssystemet IA går det att utläsa att trafikmiljöns yttre förutsättningar påverkar arbetsmiljön i allt större omfattning. Hinder i vägen och nedsatta hastighetsbegränsningar på grund av brister i banans skick eller arbete i spår gör att tidtabellen inte kan hållas. Punktlighet i mars uppgår till ca 71 %. Det i sin tur leder till ökad stress både i mötet med resenären och kopplat till viljan att vara i tid. Körtider och pauser påverkas. Bolagets 600 förare får stöd av ca 60 trafikledare och driftplanerare vars arbetsmiljö i sin tur påverkas negativt av fler störningar i trafiken.</w:t>
      </w:r>
    </w:p>
    <w:p w14:paraId="73231F0C" w14:textId="77777777" w:rsidR="00CF1029" w:rsidRDefault="00823AFE">
      <w:pPr>
        <w:pStyle w:val="BodyText"/>
        <w:widowControl w:val="0"/>
      </w:pPr>
      <w:r>
        <w:t>Bolaget har i dag personalbrist vad gäller förare och förarbrist är en av de orsaker till trafikstörning som följs upp veckovis. Bolaget har ett stort rekryteringsbehov av förare och tekniker de kommande åren. 2024 öppnas en ny depå på Ringön och 2025 planeras utbyggnad av spårvagnsnätet. Detta gör att personalavgångar behöver ersättas fullt ut samtidigt som personalstyrkan också ska växa. I nuläget är det svår att ersätta omsättningen. Det är av vikt att arbeta för goda villkor, bra arbetsmiljö och kompetensutveckling för att kunna rekrytera och behålla personal i tillräcklig omfattning för att kunna driva verksamheten fullt ut. Bolaget använder de kanaler som finns för att kunna påverka beslutsfattare vad gäller trafikmiljö och bana. Det inre arbetet fokuseras kring en ny kompetensförsörjningsstrategi och åtgärder kopplat till den. Ett förlängt arbetsliv, ökade satsningar på att behålla medarbetare, sänkta trösklar in i arbete och förbättrade villkor är några åtgärder som undersöks.</w:t>
      </w:r>
    </w:p>
    <w:p w14:paraId="256B0CB7" w14:textId="77777777" w:rsidR="00CF1029" w:rsidRDefault="00823AFE">
      <w:pPr>
        <w:pStyle w:val="BodyText"/>
        <w:widowControl w:val="0"/>
      </w:pPr>
      <w:r>
        <w:t>Det är sannolikt att förarbrist kommer att påverka förmågan att leverera grunduppdraget fullt ut de kommande åren.</w:t>
      </w:r>
    </w:p>
    <w:p w14:paraId="16D39DFA" w14:textId="77777777" w:rsidR="00CF1029" w:rsidRDefault="00823AFE">
      <w:pPr>
        <w:pStyle w:val="Rubrik3"/>
      </w:pPr>
      <w:bookmarkStart w:id="12" w:name="_Toc132262488"/>
      <w:r>
        <w:t>Systematiskt arbetsmiljöarbete och aktiva åtgärder</w:t>
      </w:r>
      <w:bookmarkEnd w:id="12"/>
    </w:p>
    <w:p w14:paraId="4F603CF6" w14:textId="77777777" w:rsidR="00CF1029" w:rsidRDefault="00823AFE">
      <w:pPr>
        <w:pStyle w:val="Texttitel"/>
      </w:pPr>
      <w:r>
        <w:t>Har ni genomfört den årliga uppföljningen av det systematiska arbetsmiljöarbetet? JA/NEJ</w:t>
      </w:r>
    </w:p>
    <w:p w14:paraId="3A0F8B99" w14:textId="77777777" w:rsidR="00CF1029" w:rsidRDefault="00823AFE">
      <w:pPr>
        <w:pStyle w:val="BodyText"/>
        <w:widowControl w:val="0"/>
      </w:pPr>
      <w:r>
        <w:t>Ja.</w:t>
      </w:r>
    </w:p>
    <w:p w14:paraId="016B4B72" w14:textId="77777777" w:rsidR="00CF1029" w:rsidRDefault="00823AFE">
      <w:pPr>
        <w:pStyle w:val="BodyText"/>
        <w:widowControl w:val="0"/>
      </w:pPr>
      <w:r>
        <w:t>Parter är överens om att arbetet fungerar bättre än tidigare med nytt upplägg i HMS-kommittéer (hälsa, miljö och säkerhet).</w:t>
      </w:r>
    </w:p>
    <w:p w14:paraId="0C3A063F" w14:textId="77777777" w:rsidR="00CF1029" w:rsidRDefault="00823AFE">
      <w:pPr>
        <w:pStyle w:val="BodyText"/>
        <w:widowControl w:val="0"/>
      </w:pPr>
      <w:r>
        <w:t>Genomförande av riskanalys och egenkontroll i tid behöver förbättras.</w:t>
      </w:r>
    </w:p>
    <w:p w14:paraId="290E4A59" w14:textId="77777777" w:rsidR="00CF1029" w:rsidRDefault="00823AFE">
      <w:pPr>
        <w:pStyle w:val="BodyText"/>
        <w:widowControl w:val="0"/>
      </w:pPr>
      <w:r>
        <w:t>Uppföljning av att GAM genomförts kommer att fortgå.</w:t>
      </w:r>
    </w:p>
    <w:p w14:paraId="244704CC" w14:textId="77777777" w:rsidR="00CF1029" w:rsidRDefault="00823AFE">
      <w:pPr>
        <w:pStyle w:val="Texttitel"/>
      </w:pPr>
      <w:r>
        <w:t>Har ni genomfört den årliga uppföljningen av aktiva åtgärder? JA/NEJ</w:t>
      </w:r>
    </w:p>
    <w:p w14:paraId="538FDABD" w14:textId="77777777" w:rsidR="00CF1029" w:rsidRDefault="00823AFE">
      <w:pPr>
        <w:pStyle w:val="BodyText"/>
        <w:widowControl w:val="0"/>
      </w:pPr>
      <w:r>
        <w:t>Ja. Tas upp med fackliga parter under april 2023.</w:t>
      </w:r>
    </w:p>
    <w:p w14:paraId="50C777F0" w14:textId="77777777" w:rsidR="00CF1029" w:rsidRDefault="00823AFE">
      <w:pPr>
        <w:pStyle w:val="BodyText"/>
        <w:widowControl w:val="0"/>
      </w:pPr>
      <w:r>
        <w:t>Kunskapshöjande åtgärder kring kränkande särbehandling, diskriminering och sexuella trakasserier genomförs under slutet av året 2023.</w:t>
      </w:r>
    </w:p>
    <w:p w14:paraId="0F510A4E" w14:textId="77777777" w:rsidR="00CF1029" w:rsidRDefault="00823AFE">
      <w:pPr>
        <w:pStyle w:val="Rubrik2"/>
      </w:pPr>
      <w:bookmarkStart w:id="13" w:name="_Toc132262489"/>
      <w:r>
        <w:lastRenderedPageBreak/>
        <w:t>Ekonomisk uppföljning</w:t>
      </w:r>
      <w:bookmarkEnd w:id="13"/>
    </w:p>
    <w:p w14:paraId="33051D31" w14:textId="77777777" w:rsidR="00CF1029" w:rsidRDefault="00823AFE">
      <w:pPr>
        <w:pStyle w:val="Tabellrubrik"/>
      </w:pPr>
      <w:r>
        <w:t>Resultaträkning i sammandrag</w:t>
      </w:r>
    </w:p>
    <w:tbl>
      <w:tblPr>
        <w:tblStyle w:val="Tabellrutnt"/>
        <w:tblOverlap w:val="never"/>
        <w:tblW w:w="0" w:type="auto"/>
        <w:tblLayout w:type="fixed"/>
        <w:tblLook w:val="04A0" w:firstRow="1" w:lastRow="0" w:firstColumn="1" w:lastColumn="0" w:noHBand="0" w:noVBand="1"/>
      </w:tblPr>
      <w:tblGrid>
        <w:gridCol w:w="1314"/>
        <w:gridCol w:w="743"/>
        <w:gridCol w:w="743"/>
        <w:gridCol w:w="686"/>
        <w:gridCol w:w="743"/>
        <w:gridCol w:w="800"/>
        <w:gridCol w:w="800"/>
        <w:gridCol w:w="743"/>
        <w:gridCol w:w="800"/>
      </w:tblGrid>
      <w:tr w:rsidR="00CF1029" w14:paraId="02CB38A4" w14:textId="77777777">
        <w:trPr>
          <w:cantSplit w:val="0"/>
        </w:trPr>
        <w:tc>
          <w:tcPr>
            <w:tcW w:w="1314" w:type="dxa"/>
            <w:tcBorders>
              <w:top w:val="single" w:sz="4" w:space="0" w:color="auto"/>
              <w:left w:val="single" w:sz="4" w:space="0" w:color="auto"/>
              <w:bottom w:val="nil"/>
              <w:right w:val="nil"/>
            </w:tcBorders>
            <w:shd w:val="clear" w:color="auto" w:fill="E5E5E5"/>
            <w:vAlign w:val="bottom"/>
          </w:tcPr>
          <w:p w14:paraId="663DA5E2" w14:textId="77777777" w:rsidR="00CF1029" w:rsidRDefault="00823AFE">
            <w:pPr>
              <w:pStyle w:val="Tabellcell"/>
            </w:pPr>
            <w:r>
              <w:rPr>
                <w:b/>
              </w:rPr>
              <w:t>Belopp i mnkr</w:t>
            </w:r>
          </w:p>
        </w:tc>
        <w:tc>
          <w:tcPr>
            <w:tcW w:w="2915" w:type="dxa"/>
            <w:gridSpan w:val="4"/>
            <w:tcBorders>
              <w:top w:val="single" w:sz="4" w:space="0" w:color="auto"/>
              <w:left w:val="nil"/>
              <w:bottom w:val="single" w:sz="4" w:space="0" w:color="auto"/>
              <w:right w:val="nil"/>
            </w:tcBorders>
            <w:shd w:val="clear" w:color="auto" w:fill="E5E5E5"/>
            <w:vAlign w:val="bottom"/>
          </w:tcPr>
          <w:p w14:paraId="6611BB12" w14:textId="77777777" w:rsidR="00CF1029" w:rsidRDefault="00823AFE">
            <w:pPr>
              <w:pStyle w:val="Tabellcell"/>
            </w:pPr>
            <w:r>
              <w:rPr>
                <w:b/>
              </w:rPr>
              <w:t>Period</w:t>
            </w:r>
          </w:p>
        </w:tc>
        <w:tc>
          <w:tcPr>
            <w:tcW w:w="3143" w:type="dxa"/>
            <w:gridSpan w:val="4"/>
            <w:tcBorders>
              <w:top w:val="single" w:sz="4" w:space="0" w:color="auto"/>
              <w:left w:val="nil"/>
              <w:bottom w:val="single" w:sz="4" w:space="0" w:color="auto"/>
              <w:right w:val="nil"/>
            </w:tcBorders>
            <w:shd w:val="clear" w:color="auto" w:fill="B4B4B4"/>
            <w:vAlign w:val="bottom"/>
          </w:tcPr>
          <w:p w14:paraId="514297ED" w14:textId="77777777" w:rsidR="00CF1029" w:rsidRDefault="00823AFE">
            <w:pPr>
              <w:pStyle w:val="Tabellcell"/>
            </w:pPr>
            <w:r>
              <w:rPr>
                <w:b/>
              </w:rPr>
              <w:t>Helår</w:t>
            </w:r>
          </w:p>
        </w:tc>
      </w:tr>
      <w:tr w:rsidR="00CF1029" w14:paraId="72BD6703" w14:textId="77777777">
        <w:trPr>
          <w:cantSplit w:val="0"/>
        </w:trPr>
        <w:tc>
          <w:tcPr>
            <w:tcW w:w="1314"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14:paraId="4948A160" w14:textId="77777777" w:rsidR="00CF1029" w:rsidRDefault="00CF1029">
            <w:pPr>
              <w:pStyle w:val="Tabellcell"/>
            </w:pPr>
          </w:p>
        </w:tc>
        <w:tc>
          <w:tcPr>
            <w:tcW w:w="743" w:type="dxa"/>
            <w:tcBorders>
              <w:top w:val="single" w:sz="4" w:space="0" w:color="auto"/>
              <w:left w:val="nil"/>
              <w:bottom w:val="single" w:sz="18" w:space="0" w:color="auto"/>
              <w:right w:val="nil"/>
            </w:tcBorders>
            <w:shd w:val="clear" w:color="auto" w:fill="E5E5E5"/>
            <w:vAlign w:val="center"/>
          </w:tcPr>
          <w:p w14:paraId="0263C9C1" w14:textId="77777777" w:rsidR="00CF1029" w:rsidRDefault="00823AFE">
            <w:pPr>
              <w:pStyle w:val="Tabellcell"/>
              <w:jc w:val="center"/>
            </w:pPr>
            <w:r>
              <w:t>Utfall</w:t>
            </w:r>
          </w:p>
        </w:tc>
        <w:tc>
          <w:tcPr>
            <w:tcW w:w="743" w:type="dxa"/>
            <w:tcBorders>
              <w:top w:val="single" w:sz="4" w:space="0" w:color="auto"/>
              <w:left w:val="nil"/>
              <w:bottom w:val="single" w:sz="18" w:space="0" w:color="auto"/>
              <w:right w:val="nil"/>
            </w:tcBorders>
            <w:shd w:val="clear" w:color="auto" w:fill="E5E5E5"/>
            <w:vAlign w:val="center"/>
          </w:tcPr>
          <w:p w14:paraId="493FAE7B" w14:textId="77777777" w:rsidR="00CF1029" w:rsidRDefault="00823AFE">
            <w:pPr>
              <w:pStyle w:val="Tabellcell"/>
              <w:jc w:val="center"/>
            </w:pPr>
            <w:r>
              <w:t>Budget</w:t>
            </w:r>
          </w:p>
        </w:tc>
        <w:tc>
          <w:tcPr>
            <w:tcW w:w="686" w:type="dxa"/>
            <w:tcBorders>
              <w:top w:val="single" w:sz="4" w:space="0" w:color="auto"/>
              <w:left w:val="nil"/>
              <w:bottom w:val="single" w:sz="18" w:space="0" w:color="auto"/>
              <w:right w:val="nil"/>
            </w:tcBorders>
            <w:shd w:val="clear" w:color="auto" w:fill="E5E5E5"/>
            <w:vAlign w:val="center"/>
          </w:tcPr>
          <w:p w14:paraId="2B157576" w14:textId="77777777" w:rsidR="00CF1029" w:rsidRDefault="00823AFE">
            <w:pPr>
              <w:pStyle w:val="Tabellcell"/>
              <w:jc w:val="center"/>
            </w:pPr>
            <w:r>
              <w:t>Avvikelse</w:t>
            </w:r>
          </w:p>
        </w:tc>
        <w:tc>
          <w:tcPr>
            <w:tcW w:w="743" w:type="dxa"/>
            <w:tcBorders>
              <w:top w:val="single" w:sz="4" w:space="0" w:color="auto"/>
              <w:left w:val="nil"/>
              <w:bottom w:val="single" w:sz="18" w:space="0" w:color="auto"/>
              <w:right w:val="nil"/>
            </w:tcBorders>
            <w:shd w:val="clear" w:color="auto" w:fill="E5E5E5"/>
            <w:vAlign w:val="center"/>
          </w:tcPr>
          <w:p w14:paraId="7147F300" w14:textId="77777777" w:rsidR="00CF1029" w:rsidRDefault="00823AFE">
            <w:pPr>
              <w:pStyle w:val="Tabellcell"/>
              <w:jc w:val="center"/>
            </w:pPr>
            <w:r>
              <w:t xml:space="preserve">Utfall </w:t>
            </w:r>
            <w:proofErr w:type="spellStart"/>
            <w:r>
              <w:t>fg</w:t>
            </w:r>
            <w:proofErr w:type="spellEnd"/>
            <w:r>
              <w:t xml:space="preserve"> år</w:t>
            </w:r>
          </w:p>
        </w:tc>
        <w:tc>
          <w:tcPr>
            <w:tcW w:w="800" w:type="dxa"/>
            <w:tcBorders>
              <w:top w:val="single" w:sz="4" w:space="0" w:color="auto"/>
              <w:left w:val="nil"/>
              <w:bottom w:val="single" w:sz="18" w:space="0" w:color="auto"/>
              <w:right w:val="nil"/>
            </w:tcBorders>
            <w:shd w:val="clear" w:color="auto" w:fill="B4B4B4"/>
            <w:vAlign w:val="center"/>
          </w:tcPr>
          <w:p w14:paraId="70423D9C" w14:textId="77777777" w:rsidR="00CF1029" w:rsidRDefault="00823AFE">
            <w:pPr>
              <w:pStyle w:val="Tabellcell"/>
              <w:jc w:val="center"/>
            </w:pPr>
            <w:r>
              <w:t>Prognos</w:t>
            </w:r>
          </w:p>
        </w:tc>
        <w:tc>
          <w:tcPr>
            <w:tcW w:w="800" w:type="dxa"/>
            <w:tcBorders>
              <w:top w:val="single" w:sz="4" w:space="0" w:color="auto"/>
              <w:left w:val="nil"/>
              <w:bottom w:val="single" w:sz="18" w:space="0" w:color="auto"/>
              <w:right w:val="nil"/>
            </w:tcBorders>
            <w:shd w:val="clear" w:color="auto" w:fill="B4B4B4"/>
            <w:vAlign w:val="center"/>
          </w:tcPr>
          <w:p w14:paraId="38427831" w14:textId="77777777" w:rsidR="00CF1029" w:rsidRDefault="00823AFE">
            <w:pPr>
              <w:pStyle w:val="Tabellcell"/>
              <w:jc w:val="center"/>
            </w:pPr>
            <w:proofErr w:type="spellStart"/>
            <w:r>
              <w:t>Fg</w:t>
            </w:r>
            <w:proofErr w:type="spellEnd"/>
            <w:r>
              <w:t xml:space="preserve"> prognos</w:t>
            </w:r>
          </w:p>
        </w:tc>
        <w:tc>
          <w:tcPr>
            <w:tcW w:w="743" w:type="dxa"/>
            <w:tcBorders>
              <w:top w:val="single" w:sz="4" w:space="0" w:color="auto"/>
              <w:left w:val="nil"/>
              <w:bottom w:val="single" w:sz="18" w:space="0" w:color="auto"/>
              <w:right w:val="nil"/>
            </w:tcBorders>
            <w:shd w:val="clear" w:color="auto" w:fill="B4B4B4"/>
            <w:vAlign w:val="center"/>
          </w:tcPr>
          <w:p w14:paraId="6909C6A4" w14:textId="77777777" w:rsidR="00CF1029" w:rsidRDefault="00823AFE">
            <w:pPr>
              <w:pStyle w:val="Tabellcell"/>
              <w:jc w:val="center"/>
            </w:pPr>
            <w:r>
              <w:t>Budget</w:t>
            </w:r>
          </w:p>
        </w:tc>
        <w:tc>
          <w:tcPr>
            <w:tcW w:w="800" w:type="dxa"/>
            <w:tcBorders>
              <w:top w:val="single" w:sz="4" w:space="0" w:color="auto"/>
              <w:left w:val="nil"/>
              <w:bottom w:val="single" w:sz="18" w:space="0" w:color="auto"/>
              <w:right w:val="single" w:sz="4" w:space="0" w:color="auto"/>
            </w:tcBorders>
            <w:shd w:val="clear" w:color="auto" w:fill="B4B4B4"/>
            <w:vAlign w:val="center"/>
          </w:tcPr>
          <w:p w14:paraId="37166F6D" w14:textId="77777777" w:rsidR="00CF1029" w:rsidRDefault="00823AFE">
            <w:pPr>
              <w:pStyle w:val="Tabellcell"/>
              <w:jc w:val="center"/>
            </w:pPr>
            <w:r>
              <w:t xml:space="preserve">Bokslut </w:t>
            </w:r>
            <w:proofErr w:type="spellStart"/>
            <w:r>
              <w:t>fg</w:t>
            </w:r>
            <w:proofErr w:type="spellEnd"/>
            <w:r>
              <w:t xml:space="preserve"> år</w:t>
            </w:r>
          </w:p>
        </w:tc>
      </w:tr>
      <w:tr w:rsidR="00CF1029" w14:paraId="4644DA87" w14:textId="77777777">
        <w:trPr>
          <w:cantSplit w:val="0"/>
        </w:trPr>
        <w:tc>
          <w:tcPr>
            <w:tcW w:w="1314" w:type="dxa"/>
            <w:tcBorders>
              <w:top w:val="single" w:sz="18" w:space="0" w:color="auto"/>
              <w:left w:val="single" w:sz="4" w:space="0" w:color="auto"/>
              <w:bottom w:val="single" w:sz="4" w:space="0" w:color="auto"/>
              <w:right w:val="single" w:sz="4" w:space="0" w:color="auto"/>
            </w:tcBorders>
            <w:shd w:val="clear" w:color="auto" w:fill="FFFFFF"/>
            <w:vAlign w:val="center"/>
          </w:tcPr>
          <w:p w14:paraId="6725C3B1" w14:textId="77777777" w:rsidR="00CF1029" w:rsidRDefault="00823AFE">
            <w:pPr>
              <w:pStyle w:val="Tabellcell"/>
            </w:pPr>
            <w:r>
              <w:t>Intäkter</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2ED142D4" w14:textId="77777777" w:rsidR="00CF1029" w:rsidRDefault="00823AFE">
            <w:pPr>
              <w:pStyle w:val="Tabellcell"/>
              <w:jc w:val="right"/>
            </w:pPr>
            <w:r>
              <w:t>328</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2CFD9D94" w14:textId="77777777" w:rsidR="00CF1029" w:rsidRDefault="00823AFE">
            <w:pPr>
              <w:pStyle w:val="Tabellcell"/>
              <w:jc w:val="right"/>
            </w:pPr>
            <w:r>
              <w:t>325</w:t>
            </w:r>
          </w:p>
        </w:tc>
        <w:tc>
          <w:tcPr>
            <w:tcW w:w="686" w:type="dxa"/>
            <w:tcBorders>
              <w:top w:val="single" w:sz="18" w:space="0" w:color="auto"/>
              <w:left w:val="single" w:sz="4" w:space="0" w:color="auto"/>
              <w:bottom w:val="single" w:sz="4" w:space="0" w:color="auto"/>
              <w:right w:val="single" w:sz="4" w:space="0" w:color="auto"/>
            </w:tcBorders>
            <w:shd w:val="clear" w:color="auto" w:fill="FFFFFF"/>
            <w:vAlign w:val="center"/>
          </w:tcPr>
          <w:p w14:paraId="1892F316" w14:textId="77777777" w:rsidR="00CF1029" w:rsidRDefault="00823AFE">
            <w:pPr>
              <w:pStyle w:val="Tabellcell"/>
              <w:jc w:val="right"/>
            </w:pPr>
            <w:r>
              <w:t>3</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58844EEF" w14:textId="77777777" w:rsidR="00CF1029" w:rsidRDefault="00823AFE">
            <w:pPr>
              <w:pStyle w:val="Tabellcell"/>
              <w:jc w:val="right"/>
            </w:pPr>
            <w:r>
              <w:t>299</w:t>
            </w:r>
          </w:p>
        </w:tc>
        <w:tc>
          <w:tcPr>
            <w:tcW w:w="800" w:type="dxa"/>
            <w:tcBorders>
              <w:top w:val="single" w:sz="18" w:space="0" w:color="auto"/>
              <w:left w:val="single" w:sz="4" w:space="0" w:color="auto"/>
              <w:bottom w:val="single" w:sz="4" w:space="0" w:color="auto"/>
              <w:right w:val="single" w:sz="4" w:space="0" w:color="auto"/>
            </w:tcBorders>
            <w:shd w:val="clear" w:color="auto" w:fill="FFFFFF"/>
            <w:vAlign w:val="center"/>
          </w:tcPr>
          <w:p w14:paraId="66D50CA6" w14:textId="77777777" w:rsidR="00CF1029" w:rsidRDefault="00823AFE">
            <w:pPr>
              <w:pStyle w:val="Tabellcell"/>
              <w:jc w:val="right"/>
            </w:pPr>
            <w:r>
              <w:t>1 310</w:t>
            </w:r>
          </w:p>
        </w:tc>
        <w:tc>
          <w:tcPr>
            <w:tcW w:w="800" w:type="dxa"/>
            <w:tcBorders>
              <w:top w:val="single" w:sz="18" w:space="0" w:color="auto"/>
              <w:left w:val="single" w:sz="4" w:space="0" w:color="auto"/>
              <w:bottom w:val="single" w:sz="4" w:space="0" w:color="auto"/>
              <w:right w:val="single" w:sz="4" w:space="0" w:color="auto"/>
            </w:tcBorders>
            <w:shd w:val="clear" w:color="auto" w:fill="FFFFFF"/>
            <w:vAlign w:val="center"/>
          </w:tcPr>
          <w:p w14:paraId="165336BE" w14:textId="77777777" w:rsidR="00CF1029" w:rsidRDefault="00823AFE">
            <w:pPr>
              <w:pStyle w:val="Tabellcell"/>
              <w:jc w:val="right"/>
            </w:pPr>
            <w:r>
              <w:t>1 307</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1167C2DC" w14:textId="77777777" w:rsidR="00CF1029" w:rsidRDefault="00823AFE">
            <w:pPr>
              <w:pStyle w:val="Tabellcell"/>
              <w:jc w:val="right"/>
            </w:pPr>
            <w:r>
              <w:t>1 297</w:t>
            </w:r>
          </w:p>
        </w:tc>
        <w:tc>
          <w:tcPr>
            <w:tcW w:w="800" w:type="dxa"/>
            <w:tcBorders>
              <w:top w:val="single" w:sz="18" w:space="0" w:color="auto"/>
              <w:left w:val="single" w:sz="4" w:space="0" w:color="auto"/>
              <w:bottom w:val="single" w:sz="4" w:space="0" w:color="auto"/>
              <w:right w:val="single" w:sz="4" w:space="0" w:color="auto"/>
            </w:tcBorders>
            <w:shd w:val="clear" w:color="auto" w:fill="FFFFFF"/>
            <w:vAlign w:val="center"/>
          </w:tcPr>
          <w:p w14:paraId="54AB2F5D" w14:textId="77777777" w:rsidR="00CF1029" w:rsidRDefault="00823AFE">
            <w:pPr>
              <w:pStyle w:val="Tabellcell"/>
              <w:jc w:val="right"/>
            </w:pPr>
            <w:r>
              <w:t>1 221</w:t>
            </w:r>
          </w:p>
        </w:tc>
      </w:tr>
      <w:tr w:rsidR="00CF1029" w14:paraId="6A162F32"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5A803B6B" w14:textId="77777777" w:rsidR="00CF1029" w:rsidRDefault="00823AFE">
            <w:pPr>
              <w:pStyle w:val="Tabellcell"/>
            </w:pPr>
            <w:r>
              <w:t>Kostnader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04745190" w14:textId="77777777" w:rsidR="00CF1029" w:rsidRDefault="00823AFE">
            <w:pPr>
              <w:pStyle w:val="Tabellcell"/>
              <w:jc w:val="right"/>
            </w:pPr>
            <w:r>
              <w:t>-328</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D69C50B" w14:textId="77777777" w:rsidR="00CF1029" w:rsidRDefault="00823AFE">
            <w:pPr>
              <w:pStyle w:val="Tabellcell"/>
              <w:jc w:val="right"/>
            </w:pPr>
            <w:r>
              <w:t>-334</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5DB93EFD" w14:textId="77777777" w:rsidR="00CF1029" w:rsidRDefault="00823AFE">
            <w:pPr>
              <w:pStyle w:val="Tabellcell"/>
              <w:jc w:val="right"/>
            </w:pPr>
            <w:r>
              <w:t>6</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6B263D3" w14:textId="77777777" w:rsidR="00CF1029" w:rsidRDefault="00823AFE">
            <w:pPr>
              <w:pStyle w:val="Tabellcell"/>
              <w:jc w:val="right"/>
            </w:pPr>
            <w:r>
              <w:t>-299</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24AC6F6B" w14:textId="77777777" w:rsidR="00CF1029" w:rsidRDefault="00823AFE">
            <w:pPr>
              <w:pStyle w:val="Tabellcell"/>
              <w:jc w:val="right"/>
            </w:pPr>
            <w:r>
              <w:t>-1 310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063B2694" w14:textId="77777777" w:rsidR="00CF1029" w:rsidRDefault="00823AFE">
            <w:pPr>
              <w:pStyle w:val="Tabellcell"/>
              <w:jc w:val="right"/>
            </w:pPr>
            <w:r>
              <w:t>-1 307</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643B2EA" w14:textId="77777777" w:rsidR="00CF1029" w:rsidRDefault="00823AFE">
            <w:pPr>
              <w:pStyle w:val="Tabellcell"/>
              <w:jc w:val="right"/>
            </w:pPr>
            <w:r>
              <w:t>-1 297</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0E3388DD" w14:textId="77777777" w:rsidR="00CF1029" w:rsidRDefault="00823AFE">
            <w:pPr>
              <w:pStyle w:val="Tabellcell"/>
              <w:jc w:val="right"/>
            </w:pPr>
            <w:r>
              <w:t>-1 221</w:t>
            </w:r>
          </w:p>
        </w:tc>
      </w:tr>
      <w:tr w:rsidR="00CF1029" w14:paraId="12150EF4"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701D71BE" w14:textId="77777777" w:rsidR="00CF1029" w:rsidRDefault="00823AFE">
            <w:pPr>
              <w:pStyle w:val="Tabellcell"/>
            </w:pPr>
            <w:r>
              <w:rPr>
                <w:b/>
              </w:rPr>
              <w:t>Rörelseresultat</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34A18B66" w14:textId="77777777" w:rsidR="00CF1029" w:rsidRDefault="00823AFE">
            <w:pPr>
              <w:pStyle w:val="Tabellcell"/>
              <w:jc w:val="right"/>
            </w:pPr>
            <w:r>
              <w:rPr>
                <w:b/>
              </w:rP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346D87D2" w14:textId="77777777" w:rsidR="00CF1029" w:rsidRDefault="00823AFE">
            <w:pPr>
              <w:pStyle w:val="Tabellcell"/>
              <w:jc w:val="right"/>
            </w:pPr>
            <w:r>
              <w:rPr>
                <w:b/>
              </w:rPr>
              <w:t>-9</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69004CDE" w14:textId="77777777" w:rsidR="00CF1029" w:rsidRDefault="00823AFE">
            <w:pPr>
              <w:pStyle w:val="Tabellcell"/>
              <w:jc w:val="right"/>
            </w:pPr>
            <w:r>
              <w:rPr>
                <w:b/>
              </w:rPr>
              <w:t>9</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4B91C8B9" w14:textId="77777777" w:rsidR="00CF1029" w:rsidRDefault="00823AFE">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32CE4683" w14:textId="77777777" w:rsidR="00CF1029" w:rsidRDefault="00823AFE">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2E73D93F" w14:textId="77777777" w:rsidR="00CF1029" w:rsidRDefault="00823AFE">
            <w:pPr>
              <w:pStyle w:val="Tabellcell"/>
              <w:jc w:val="right"/>
            </w:pPr>
            <w:r>
              <w:rPr>
                <w:b/>
              </w:rP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D620E92" w14:textId="77777777" w:rsidR="00CF1029" w:rsidRDefault="00823AFE">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25D5B1DC" w14:textId="77777777" w:rsidR="00CF1029" w:rsidRDefault="00823AFE">
            <w:pPr>
              <w:pStyle w:val="Tabellcell"/>
              <w:jc w:val="right"/>
            </w:pPr>
            <w:r>
              <w:rPr>
                <w:b/>
              </w:rPr>
              <w:t>0</w:t>
            </w:r>
          </w:p>
        </w:tc>
      </w:tr>
      <w:tr w:rsidR="00CF1029" w14:paraId="77117FF3"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4CEB6BCD" w14:textId="77777777" w:rsidR="00CF1029" w:rsidRDefault="00823AFE">
            <w:pPr>
              <w:pStyle w:val="Tabellcell"/>
            </w:pPr>
            <w:r>
              <w:t>Finansiella intäkter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E93640C" w14:textId="77777777" w:rsidR="00CF1029" w:rsidRDefault="00823AFE">
            <w:pPr>
              <w:pStyle w:val="Tabellcell"/>
              <w:jc w:val="right"/>
            </w:pPr>
            <w: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772129F" w14:textId="77777777" w:rsidR="00CF1029" w:rsidRDefault="00823AFE">
            <w:pPr>
              <w:pStyle w:val="Tabellcell"/>
              <w:jc w:val="right"/>
            </w:pPr>
            <w:r>
              <w:t>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6E415E1D" w14:textId="77777777" w:rsidR="00CF1029" w:rsidRDefault="00823AFE">
            <w:pPr>
              <w:pStyle w:val="Tabellcell"/>
              <w:jc w:val="right"/>
            </w:pPr>
            <w: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CC45E38" w14:textId="77777777" w:rsidR="00CF1029" w:rsidRDefault="00823AFE">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745F6288" w14:textId="77777777" w:rsidR="00CF1029" w:rsidRDefault="00823AFE">
            <w:pPr>
              <w:pStyle w:val="Tabellcell"/>
              <w:jc w:val="right"/>
            </w:pPr>
            <w:r>
              <w:t>1</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0A53F398" w14:textId="77777777" w:rsidR="00CF1029" w:rsidRDefault="00823AFE">
            <w:pPr>
              <w:pStyle w:val="Tabellcell"/>
              <w:jc w:val="right"/>
            </w:pPr>
            <w: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1B4CF2E" w14:textId="77777777" w:rsidR="00CF1029" w:rsidRDefault="00823AFE">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207D040F" w14:textId="77777777" w:rsidR="00CF1029" w:rsidRDefault="00823AFE">
            <w:pPr>
              <w:pStyle w:val="Tabellcell"/>
              <w:jc w:val="right"/>
            </w:pPr>
            <w:r>
              <w:t>1</w:t>
            </w:r>
          </w:p>
        </w:tc>
      </w:tr>
      <w:tr w:rsidR="00CF1029" w14:paraId="656B516A"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75667892" w14:textId="77777777" w:rsidR="00CF1029" w:rsidRDefault="00823AFE">
            <w:pPr>
              <w:pStyle w:val="Tabellcell"/>
            </w:pPr>
            <w:r>
              <w:t>Finansiella kostnader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72C7D6F" w14:textId="77777777" w:rsidR="00CF1029" w:rsidRDefault="00823AFE">
            <w:pPr>
              <w:pStyle w:val="Tabellcell"/>
              <w:jc w:val="right"/>
            </w:pPr>
            <w: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00D50A08" w14:textId="77777777" w:rsidR="00CF1029" w:rsidRDefault="00823AFE">
            <w:pPr>
              <w:pStyle w:val="Tabellcell"/>
              <w:jc w:val="right"/>
            </w:pPr>
            <w:r>
              <w:t>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07EE8E61" w14:textId="77777777" w:rsidR="00CF1029" w:rsidRDefault="00823AFE">
            <w:pPr>
              <w:pStyle w:val="Tabellcell"/>
              <w:jc w:val="right"/>
            </w:pPr>
            <w: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65D8DEED" w14:textId="77777777" w:rsidR="00CF1029" w:rsidRDefault="00823AFE">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4BED1E93" w14:textId="77777777" w:rsidR="00CF1029" w:rsidRDefault="00823AFE">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62BAC1EB" w14:textId="77777777" w:rsidR="00CF1029" w:rsidRDefault="00823AFE">
            <w:pPr>
              <w:pStyle w:val="Tabellcell"/>
              <w:jc w:val="right"/>
            </w:pPr>
            <w: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31AE5061" w14:textId="77777777" w:rsidR="00CF1029" w:rsidRDefault="00823AFE">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074E6452" w14:textId="77777777" w:rsidR="00CF1029" w:rsidRDefault="00823AFE">
            <w:pPr>
              <w:pStyle w:val="Tabellcell"/>
              <w:jc w:val="right"/>
            </w:pPr>
            <w:r>
              <w:t>0</w:t>
            </w:r>
          </w:p>
        </w:tc>
      </w:tr>
      <w:tr w:rsidR="00CF1029" w14:paraId="7E91DDBC"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611F2F1D" w14:textId="77777777" w:rsidR="00CF1029" w:rsidRDefault="00823AFE">
            <w:pPr>
              <w:pStyle w:val="Tabellcell"/>
            </w:pPr>
            <w:r>
              <w:rPr>
                <w:b/>
              </w:rPr>
              <w:t>Resultat efter fin. poster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045F630D" w14:textId="77777777" w:rsidR="00CF1029" w:rsidRDefault="00823AFE">
            <w:pPr>
              <w:pStyle w:val="Tabellcell"/>
              <w:jc w:val="right"/>
            </w:pPr>
            <w:r>
              <w:rPr>
                <w:b/>
              </w:rP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A679255" w14:textId="77777777" w:rsidR="00CF1029" w:rsidRDefault="00823AFE">
            <w:pPr>
              <w:pStyle w:val="Tabellcell"/>
              <w:jc w:val="right"/>
            </w:pPr>
            <w:r>
              <w:rPr>
                <w:b/>
              </w:rPr>
              <w:t>-9</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5265B1F3" w14:textId="77777777" w:rsidR="00CF1029" w:rsidRDefault="00823AFE">
            <w:pPr>
              <w:pStyle w:val="Tabellcell"/>
              <w:jc w:val="right"/>
            </w:pPr>
            <w:r>
              <w:rPr>
                <w:b/>
              </w:rPr>
              <w:t>10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268A6C6" w14:textId="77777777" w:rsidR="00CF1029" w:rsidRDefault="00823AFE">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23D2B832" w14:textId="77777777" w:rsidR="00CF1029" w:rsidRDefault="00823AFE">
            <w:pPr>
              <w:pStyle w:val="Tabellcell"/>
              <w:jc w:val="right"/>
            </w:pPr>
            <w:r>
              <w:rPr>
                <w:b/>
              </w:rPr>
              <w:t>1</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65F12DD4" w14:textId="77777777" w:rsidR="00CF1029" w:rsidRDefault="00823AFE">
            <w:pPr>
              <w:pStyle w:val="Tabellcell"/>
              <w:jc w:val="right"/>
            </w:pPr>
            <w:r>
              <w:rPr>
                <w:b/>
              </w:rP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0780BC8" w14:textId="77777777" w:rsidR="00CF1029" w:rsidRDefault="00823AFE">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4868FBD4" w14:textId="77777777" w:rsidR="00CF1029" w:rsidRDefault="00823AFE">
            <w:pPr>
              <w:pStyle w:val="Tabellcell"/>
              <w:jc w:val="right"/>
            </w:pPr>
            <w:r>
              <w:rPr>
                <w:b/>
              </w:rPr>
              <w:t>1</w:t>
            </w:r>
          </w:p>
        </w:tc>
      </w:tr>
    </w:tbl>
    <w:p w14:paraId="3CF480D0" w14:textId="77777777" w:rsidR="00CF1029" w:rsidRDefault="00823AFE">
      <w:pPr>
        <w:pStyle w:val="BodyText"/>
        <w:widowControl w:val="0"/>
        <w:spacing w:before="160"/>
      </w:pPr>
      <w:r>
        <w:t> </w:t>
      </w:r>
    </w:p>
    <w:p w14:paraId="0AFE8DCC" w14:textId="77777777" w:rsidR="00CF1029" w:rsidRDefault="00823AFE">
      <w:pPr>
        <w:pStyle w:val="BodyText"/>
        <w:widowControl w:val="0"/>
      </w:pPr>
      <w:r>
        <w:t> </w:t>
      </w:r>
    </w:p>
    <w:p w14:paraId="6292839B" w14:textId="77777777" w:rsidR="00CF1029" w:rsidRDefault="00823AFE">
      <w:pPr>
        <w:pStyle w:val="Rubrik3"/>
      </w:pPr>
      <w:bookmarkStart w:id="14" w:name="_Toc132262490"/>
      <w:r>
        <w:t>Utfall till och med perioden</w:t>
      </w:r>
      <w:bookmarkEnd w:id="14"/>
    </w:p>
    <w:p w14:paraId="29CFA980" w14:textId="77777777" w:rsidR="00CF1029" w:rsidRDefault="00823AFE">
      <w:pPr>
        <w:pStyle w:val="BodyText"/>
        <w:widowControl w:val="0"/>
      </w:pPr>
      <w:r>
        <w:t>Göteborgs Spårvägar visar efter mars månad ett resultat på 0 mnkr. Utifrån principen om självkostnad har resultatet för Trafikavtalet (4,5 mnkr) och Utförandeentreprenadavtalet (-5,4 mnkr) bokats upp som en skuld respektive fordran i balansräkningen.</w:t>
      </w:r>
    </w:p>
    <w:p w14:paraId="1EA66553" w14:textId="77777777" w:rsidR="00CF1029" w:rsidRDefault="00823AFE">
      <w:pPr>
        <w:pStyle w:val="BodyText"/>
        <w:widowControl w:val="0"/>
      </w:pPr>
      <w:r>
        <w:t xml:space="preserve">Resultatet före uppbokning är positivt inom ramen för Trafikavtalet. På intäktssidan finns 1 mnkr högre intäkter som härleds till försäkringsutbetalningar och bidrag för sjuklönekostnader. På kostnadssidan så är lagerförändringen lägre än budgeterat, vilket påverkar resultaträkningen med -7 mnkr för perioden. Denna summa består av personalkostnader ca -16 mnkr mot budget samt </w:t>
      </w:r>
      <w:proofErr w:type="gramStart"/>
      <w:r>
        <w:t>uttag material</w:t>
      </w:r>
      <w:proofErr w:type="gramEnd"/>
      <w:r>
        <w:t xml:space="preserve"> ca +9 mot budget. Trafikavtalet visar också lägre inköp av material på 6,2 mnkr. Senareläggning av investeringar påverkar avskrivningar positivt med 2,8 mnkr.</w:t>
      </w:r>
    </w:p>
    <w:p w14:paraId="7089E21D" w14:textId="77777777" w:rsidR="00CF1029" w:rsidRDefault="00823AFE">
      <w:pPr>
        <w:pStyle w:val="BodyText"/>
        <w:widowControl w:val="0"/>
      </w:pPr>
      <w:r>
        <w:t>Inom ramen för Utförandeentreprenadavtalet visar bolaget för perioden ett minusresultat före resultatuppbokning. Intäkterna avviker med drygt –10,9 mnkr och kan framför allt förklaras med att budgeterade arbeten inte utförts och/eller ännu ej påbörjats samt periodiseringar. Samtidigt redovisar verksamheten minskade kostnader till följd därav. Det negativa resultatet kan i huvudsak härledas till kostnader i utfallen som prislistan inte tar full höjd för i dagsläget, till exempel övrig frånvarotid (2,3 mnkr). Samtidigt har verksamheten erhållit icke budgeterade intäkter avseende försäljning av en fordran om 0,8 mnkr vilket förbättrar resultatet.</w:t>
      </w:r>
    </w:p>
    <w:p w14:paraId="74B45EE1" w14:textId="77777777" w:rsidR="00CF1029" w:rsidRDefault="00823AFE">
      <w:pPr>
        <w:pStyle w:val="Rubrik3"/>
      </w:pPr>
      <w:bookmarkStart w:id="15" w:name="_Toc132262491"/>
      <w:r>
        <w:t>Prognos</w:t>
      </w:r>
      <w:bookmarkEnd w:id="15"/>
    </w:p>
    <w:p w14:paraId="46A8D0C1" w14:textId="77777777" w:rsidR="00CF1029" w:rsidRDefault="00823AFE">
      <w:pPr>
        <w:pStyle w:val="BodyText"/>
        <w:widowControl w:val="0"/>
      </w:pPr>
      <w:r>
        <w:t xml:space="preserve">Prognosen sätts för året till noll i resultat eftersom de direkttilldelade avtalen med Västtrafik och Stadsmiljöförvaltningen är utformade utifrån självkostnadsprincip. </w:t>
      </w:r>
      <w:r>
        <w:lastRenderedPageBreak/>
        <w:t>Det innebär att utfallet vid årsskiftet regleras mellan parterna.</w:t>
      </w:r>
    </w:p>
    <w:p w14:paraId="555D4F0F" w14:textId="77777777" w:rsidR="00CF1029" w:rsidRDefault="00823AFE">
      <w:pPr>
        <w:pStyle w:val="BodyText"/>
        <w:widowControl w:val="0"/>
      </w:pPr>
      <w:r>
        <w:t>Prognos gentemot budget för Trafikavtalet uppgår till 15 mnkr. I prognosen ökar intäktssidan med ca 20 mnkr för destinationsskyltar, vilket också ökar kostnaderna med motsvarande summa inom material och köpta tjänster. Ökade kostnader för ytterbelysning och generella materialprisökningar prognostiseras med 1,4 respektive 2 mnkr. Minskat material kopplat till M33 antas vara periodisering som skjuts över till 2024 med +1,4 mnkr. IT-tjänster och licenskostnader har ökat på grund av prisförändringar och har prognostiserats upp med 2,5 mnkr. Elkostnaderna prognostiseras till en helårseffekt på cirka +6 mnkr mot budget. Personalkostnaderna prognostiseras att bli lägre än budget med 8,2 mnkr. Förseningar i investeringar gör att avskrivningskostnaden kommer att avvika positivt med 5 mnkr mot budget 2023.</w:t>
      </w:r>
    </w:p>
    <w:p w14:paraId="77AECF35" w14:textId="77777777" w:rsidR="00CF1029" w:rsidRDefault="00823AFE">
      <w:pPr>
        <w:pStyle w:val="BodyText"/>
        <w:widowControl w:val="0"/>
      </w:pPr>
      <w:r>
        <w:t xml:space="preserve">Prognosen för Utförandeentreprenadavtalet gentemot budget för helåret är negativt och uppgår till -14,4 mnkr. Det beror på att den övriga frånvarotiden, APT, mötestid och liknande är högre i verkligheten än vad á prislistan tar betalt för. Det genererar minskade intäkter om cirka 10 mnkr på helår. Vidare finns </w:t>
      </w:r>
      <w:proofErr w:type="spellStart"/>
      <w:r>
        <w:t>obudgeterade</w:t>
      </w:r>
      <w:proofErr w:type="spellEnd"/>
      <w:r>
        <w:t xml:space="preserve"> OH2 kostnader om cirka 1,5 mnkr samt behov av att reparera gamla och uttjänta fordon/maskiner för cirka 1,5 mnkr.</w:t>
      </w:r>
    </w:p>
    <w:p w14:paraId="08501F84" w14:textId="77777777" w:rsidR="00CF1029" w:rsidRDefault="00823AFE">
      <w:pPr>
        <w:pStyle w:val="BodyText"/>
        <w:widowControl w:val="0"/>
      </w:pPr>
      <w:r>
        <w:t> </w:t>
      </w:r>
    </w:p>
    <w:p w14:paraId="04D5B6CA" w14:textId="77777777" w:rsidR="00CF1029" w:rsidRDefault="00823AFE">
      <w:pPr>
        <w:pStyle w:val="Rubrik3"/>
      </w:pPr>
      <w:bookmarkStart w:id="16" w:name="_Toc132262492"/>
      <w:r>
        <w:t>Resultat per affärsområde/dotterbolag eller motsvarande</w:t>
      </w:r>
      <w:bookmarkEnd w:id="16"/>
    </w:p>
    <w:tbl>
      <w:tblPr>
        <w:tblStyle w:val="Tabellrutnt"/>
        <w:tblOverlap w:val="never"/>
        <w:tblW w:w="0" w:type="auto"/>
        <w:tblLayout w:type="fixed"/>
        <w:tblLook w:val="04A0" w:firstRow="1" w:lastRow="0" w:firstColumn="1" w:lastColumn="0" w:noHBand="0" w:noVBand="1"/>
      </w:tblPr>
      <w:tblGrid>
        <w:gridCol w:w="1417"/>
        <w:gridCol w:w="850"/>
        <w:gridCol w:w="850"/>
        <w:gridCol w:w="850"/>
        <w:gridCol w:w="850"/>
        <w:gridCol w:w="850"/>
        <w:gridCol w:w="850"/>
        <w:gridCol w:w="850"/>
      </w:tblGrid>
      <w:tr w:rsidR="00CF1029" w14:paraId="431D38DD" w14:textId="77777777">
        <w:trPr>
          <w:cantSplit w:val="0"/>
        </w:trPr>
        <w:tc>
          <w:tcPr>
            <w:tcW w:w="1417" w:type="dxa"/>
            <w:tcBorders>
              <w:top w:val="single" w:sz="4" w:space="0" w:color="auto"/>
              <w:left w:val="single" w:sz="4" w:space="0" w:color="auto"/>
              <w:bottom w:val="nil"/>
              <w:right w:val="nil"/>
            </w:tcBorders>
            <w:shd w:val="clear" w:color="auto" w:fill="E5E5E5"/>
            <w:vAlign w:val="bottom"/>
          </w:tcPr>
          <w:p w14:paraId="15D220D4" w14:textId="77777777" w:rsidR="00CF1029" w:rsidRDefault="00823AFE">
            <w:pPr>
              <w:pStyle w:val="Tabellcell"/>
            </w:pPr>
            <w:r>
              <w:rPr>
                <w:b/>
              </w:rPr>
              <w:t>Belopp i mnkr</w:t>
            </w:r>
          </w:p>
        </w:tc>
        <w:tc>
          <w:tcPr>
            <w:tcW w:w="2550" w:type="dxa"/>
            <w:gridSpan w:val="3"/>
            <w:tcBorders>
              <w:top w:val="single" w:sz="4" w:space="0" w:color="auto"/>
              <w:left w:val="nil"/>
              <w:bottom w:val="single" w:sz="4" w:space="0" w:color="auto"/>
              <w:right w:val="nil"/>
            </w:tcBorders>
            <w:shd w:val="clear" w:color="auto" w:fill="E5E5E5"/>
            <w:vAlign w:val="bottom"/>
          </w:tcPr>
          <w:p w14:paraId="39421665" w14:textId="77777777" w:rsidR="00CF1029" w:rsidRDefault="00823AFE">
            <w:pPr>
              <w:pStyle w:val="Tabellcell"/>
            </w:pPr>
            <w:r>
              <w:rPr>
                <w:b/>
              </w:rPr>
              <w:t>Period</w:t>
            </w:r>
          </w:p>
        </w:tc>
        <w:tc>
          <w:tcPr>
            <w:tcW w:w="3400" w:type="dxa"/>
            <w:gridSpan w:val="4"/>
            <w:tcBorders>
              <w:top w:val="single" w:sz="4" w:space="0" w:color="auto"/>
              <w:left w:val="nil"/>
              <w:bottom w:val="single" w:sz="4" w:space="0" w:color="auto"/>
              <w:right w:val="nil"/>
            </w:tcBorders>
            <w:shd w:val="clear" w:color="auto" w:fill="B4B4B4"/>
            <w:vAlign w:val="bottom"/>
          </w:tcPr>
          <w:p w14:paraId="3761EF11" w14:textId="77777777" w:rsidR="00CF1029" w:rsidRDefault="00823AFE">
            <w:pPr>
              <w:pStyle w:val="Tabellcell"/>
            </w:pPr>
            <w:r>
              <w:rPr>
                <w:b/>
              </w:rPr>
              <w:t>Helår</w:t>
            </w:r>
          </w:p>
        </w:tc>
      </w:tr>
      <w:tr w:rsidR="00CF1029" w14:paraId="1FB1F2C1" w14:textId="77777777">
        <w:trPr>
          <w:cantSplit w:val="0"/>
        </w:trPr>
        <w:tc>
          <w:tcPr>
            <w:tcW w:w="1417"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14:paraId="531B6062" w14:textId="77777777" w:rsidR="00CF1029" w:rsidRDefault="00CF1029">
            <w:pPr>
              <w:pStyle w:val="Tabellcell"/>
            </w:pPr>
          </w:p>
        </w:tc>
        <w:tc>
          <w:tcPr>
            <w:tcW w:w="850" w:type="dxa"/>
            <w:tcBorders>
              <w:top w:val="single" w:sz="4" w:space="0" w:color="auto"/>
              <w:left w:val="nil"/>
              <w:bottom w:val="single" w:sz="18" w:space="0" w:color="auto"/>
              <w:right w:val="nil"/>
            </w:tcBorders>
            <w:shd w:val="clear" w:color="auto" w:fill="E5E5E5"/>
            <w:vAlign w:val="center"/>
          </w:tcPr>
          <w:p w14:paraId="5C4D713B" w14:textId="77777777" w:rsidR="00CF1029" w:rsidRDefault="00823AFE">
            <w:pPr>
              <w:pStyle w:val="Tabellcell"/>
              <w:jc w:val="center"/>
            </w:pPr>
            <w:r>
              <w:t>Utfall</w:t>
            </w:r>
          </w:p>
        </w:tc>
        <w:tc>
          <w:tcPr>
            <w:tcW w:w="850" w:type="dxa"/>
            <w:tcBorders>
              <w:top w:val="single" w:sz="4" w:space="0" w:color="auto"/>
              <w:left w:val="nil"/>
              <w:bottom w:val="single" w:sz="18" w:space="0" w:color="auto"/>
              <w:right w:val="nil"/>
            </w:tcBorders>
            <w:shd w:val="clear" w:color="auto" w:fill="E5E5E5"/>
            <w:vAlign w:val="center"/>
          </w:tcPr>
          <w:p w14:paraId="21FDD846" w14:textId="77777777" w:rsidR="00CF1029" w:rsidRDefault="00823AFE">
            <w:pPr>
              <w:pStyle w:val="Tabellcell"/>
              <w:jc w:val="center"/>
            </w:pPr>
            <w:r>
              <w:t>Budget</w:t>
            </w:r>
          </w:p>
        </w:tc>
        <w:tc>
          <w:tcPr>
            <w:tcW w:w="850" w:type="dxa"/>
            <w:tcBorders>
              <w:top w:val="single" w:sz="4" w:space="0" w:color="auto"/>
              <w:left w:val="nil"/>
              <w:bottom w:val="single" w:sz="18" w:space="0" w:color="auto"/>
              <w:right w:val="nil"/>
            </w:tcBorders>
            <w:shd w:val="clear" w:color="auto" w:fill="E5E5E5"/>
            <w:vAlign w:val="center"/>
          </w:tcPr>
          <w:p w14:paraId="225EC83A" w14:textId="77777777" w:rsidR="00CF1029" w:rsidRDefault="00823AFE">
            <w:pPr>
              <w:pStyle w:val="Tabellcell"/>
              <w:jc w:val="center"/>
            </w:pPr>
            <w:r>
              <w:t>Avvikelse</w:t>
            </w:r>
          </w:p>
        </w:tc>
        <w:tc>
          <w:tcPr>
            <w:tcW w:w="850" w:type="dxa"/>
            <w:tcBorders>
              <w:top w:val="single" w:sz="4" w:space="0" w:color="auto"/>
              <w:left w:val="nil"/>
              <w:bottom w:val="single" w:sz="18" w:space="0" w:color="auto"/>
              <w:right w:val="nil"/>
            </w:tcBorders>
            <w:shd w:val="clear" w:color="auto" w:fill="B4B4B4"/>
            <w:vAlign w:val="center"/>
          </w:tcPr>
          <w:p w14:paraId="293427E6" w14:textId="77777777" w:rsidR="00CF1029" w:rsidRDefault="00823AFE">
            <w:pPr>
              <w:pStyle w:val="Tabellcell"/>
              <w:jc w:val="center"/>
            </w:pPr>
            <w:r>
              <w:t>Prognos</w:t>
            </w:r>
          </w:p>
        </w:tc>
        <w:tc>
          <w:tcPr>
            <w:tcW w:w="850" w:type="dxa"/>
            <w:tcBorders>
              <w:top w:val="single" w:sz="4" w:space="0" w:color="auto"/>
              <w:left w:val="nil"/>
              <w:bottom w:val="single" w:sz="18" w:space="0" w:color="auto"/>
              <w:right w:val="nil"/>
            </w:tcBorders>
            <w:shd w:val="clear" w:color="auto" w:fill="B4B4B4"/>
            <w:vAlign w:val="center"/>
          </w:tcPr>
          <w:p w14:paraId="50EB5954" w14:textId="77777777" w:rsidR="00CF1029" w:rsidRDefault="00823AFE">
            <w:pPr>
              <w:pStyle w:val="Tabellcell"/>
              <w:jc w:val="center"/>
            </w:pPr>
            <w:proofErr w:type="spellStart"/>
            <w:r>
              <w:t>Fg</w:t>
            </w:r>
            <w:proofErr w:type="spellEnd"/>
            <w:r>
              <w:t xml:space="preserve"> prognos</w:t>
            </w:r>
          </w:p>
        </w:tc>
        <w:tc>
          <w:tcPr>
            <w:tcW w:w="850" w:type="dxa"/>
            <w:tcBorders>
              <w:top w:val="single" w:sz="4" w:space="0" w:color="auto"/>
              <w:left w:val="nil"/>
              <w:bottom w:val="single" w:sz="18" w:space="0" w:color="auto"/>
              <w:right w:val="nil"/>
            </w:tcBorders>
            <w:shd w:val="clear" w:color="auto" w:fill="B4B4B4"/>
            <w:vAlign w:val="center"/>
          </w:tcPr>
          <w:p w14:paraId="6FCEBCE3" w14:textId="77777777" w:rsidR="00CF1029" w:rsidRDefault="00823AFE">
            <w:pPr>
              <w:pStyle w:val="Tabellcell"/>
              <w:jc w:val="center"/>
            </w:pPr>
            <w:r>
              <w:t>Budget</w:t>
            </w:r>
          </w:p>
        </w:tc>
        <w:tc>
          <w:tcPr>
            <w:tcW w:w="850" w:type="dxa"/>
            <w:tcBorders>
              <w:top w:val="single" w:sz="4" w:space="0" w:color="auto"/>
              <w:left w:val="nil"/>
              <w:bottom w:val="single" w:sz="18" w:space="0" w:color="auto"/>
              <w:right w:val="single" w:sz="4" w:space="0" w:color="auto"/>
            </w:tcBorders>
            <w:shd w:val="clear" w:color="auto" w:fill="B4B4B4"/>
            <w:vAlign w:val="center"/>
          </w:tcPr>
          <w:p w14:paraId="69313458" w14:textId="77777777" w:rsidR="00CF1029" w:rsidRDefault="00823AFE">
            <w:pPr>
              <w:pStyle w:val="Tabellcell"/>
              <w:jc w:val="center"/>
            </w:pPr>
            <w:r>
              <w:t xml:space="preserve">Bokslut </w:t>
            </w:r>
            <w:proofErr w:type="spellStart"/>
            <w:r>
              <w:t>fg</w:t>
            </w:r>
            <w:proofErr w:type="spellEnd"/>
            <w:r>
              <w:t xml:space="preserve"> år</w:t>
            </w:r>
          </w:p>
        </w:tc>
      </w:tr>
      <w:tr w:rsidR="00CF1029" w14:paraId="46CE97F1" w14:textId="77777777">
        <w:trPr>
          <w:cantSplit w:val="0"/>
        </w:trPr>
        <w:tc>
          <w:tcPr>
            <w:tcW w:w="1417" w:type="dxa"/>
            <w:tcBorders>
              <w:top w:val="single" w:sz="18" w:space="0" w:color="auto"/>
              <w:left w:val="single" w:sz="4" w:space="0" w:color="auto"/>
              <w:bottom w:val="single" w:sz="4" w:space="0" w:color="auto"/>
              <w:right w:val="single" w:sz="4" w:space="0" w:color="auto"/>
            </w:tcBorders>
            <w:shd w:val="clear" w:color="auto" w:fill="FFFFFF"/>
            <w:vAlign w:val="center"/>
          </w:tcPr>
          <w:p w14:paraId="08BAA757" w14:textId="77777777" w:rsidR="00CF1029" w:rsidRDefault="00823AFE">
            <w:pPr>
              <w:pStyle w:val="Tabellcell"/>
            </w:pPr>
            <w:r>
              <w:t>Trafikavtalet</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7BB2642E" w14:textId="77777777" w:rsidR="00CF1029" w:rsidRDefault="00823AFE">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05BA4608" w14:textId="77777777" w:rsidR="00CF1029" w:rsidRDefault="00823AFE">
            <w:pPr>
              <w:pStyle w:val="Tabellcell"/>
              <w:jc w:val="right"/>
            </w:pPr>
            <w:r>
              <w:t>-10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561D4432" w14:textId="77777777" w:rsidR="00CF1029" w:rsidRDefault="00823AFE">
            <w:pPr>
              <w:pStyle w:val="Tabellcell"/>
              <w:jc w:val="right"/>
            </w:pPr>
            <w:r>
              <w:t>10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3BCE2135" w14:textId="77777777" w:rsidR="00CF1029" w:rsidRDefault="00823AFE">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6DDCCF6F" w14:textId="77777777" w:rsidR="00CF1029" w:rsidRDefault="00823AFE">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4B0EC5B7" w14:textId="77777777" w:rsidR="00CF1029" w:rsidRDefault="00823AFE">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10C3E901" w14:textId="77777777" w:rsidR="00CF1029" w:rsidRDefault="00823AFE">
            <w:pPr>
              <w:pStyle w:val="Tabellcell"/>
              <w:jc w:val="right"/>
            </w:pPr>
            <w:r>
              <w:t>0</w:t>
            </w:r>
          </w:p>
        </w:tc>
      </w:tr>
      <w:tr w:rsidR="00CF1029" w14:paraId="49A12DA8"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EA7C473" w14:textId="77777777" w:rsidR="00CF1029" w:rsidRDefault="00823AFE">
            <w:pPr>
              <w:pStyle w:val="Tabellcell"/>
            </w:pPr>
            <w:r>
              <w:t>Utförandeentreprenadavtalet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28700F"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5FA1B9" w14:textId="77777777" w:rsidR="00CF1029" w:rsidRDefault="00823AFE">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CC31D7" w14:textId="77777777" w:rsidR="00CF1029" w:rsidRDefault="00823AFE">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A0D3DC"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EC4EBA"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950B10"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D64851" w14:textId="77777777" w:rsidR="00CF1029" w:rsidRDefault="00823AFE">
            <w:pPr>
              <w:pStyle w:val="Tabellcell"/>
              <w:jc w:val="right"/>
            </w:pPr>
            <w:r>
              <w:t>0</w:t>
            </w:r>
          </w:p>
        </w:tc>
      </w:tr>
      <w:tr w:rsidR="00CF1029" w14:paraId="31035C33"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6164E4" w14:textId="77777777" w:rsidR="00CF1029" w:rsidRDefault="00823AFE">
            <w:pPr>
              <w:pStyle w:val="Tabellcell"/>
            </w:pPr>
            <w:r>
              <w:t>Övriga avtal, uppdrag och projekt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685704"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DF2CA4"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C0508B"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DEAA7B"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3EFD30"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83DF5E"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1D1D8D" w14:textId="77777777" w:rsidR="00CF1029" w:rsidRDefault="00823AFE">
            <w:pPr>
              <w:pStyle w:val="Tabellcell"/>
              <w:jc w:val="right"/>
            </w:pPr>
            <w:r>
              <w:t>0</w:t>
            </w:r>
          </w:p>
        </w:tc>
      </w:tr>
      <w:tr w:rsidR="00CF1029" w14:paraId="772A6391"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8F4F049" w14:textId="77777777" w:rsidR="00CF1029" w:rsidRDefault="00823AFE">
            <w:pPr>
              <w:pStyle w:val="Tabellcell"/>
            </w:pPr>
            <w:r>
              <w:t>Rörelseresultat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B2FF9B"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04A40A" w14:textId="77777777" w:rsidR="00CF1029" w:rsidRDefault="00823AFE">
            <w:pPr>
              <w:pStyle w:val="Tabellcell"/>
              <w:jc w:val="right"/>
            </w:pPr>
            <w: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15FF74" w14:textId="77777777" w:rsidR="00CF1029" w:rsidRDefault="00823AFE">
            <w:pPr>
              <w:pStyle w:val="Tabellcell"/>
              <w:jc w:val="right"/>
            </w:pPr>
            <w: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F5ED98"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A89BA3"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6797A1"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130C60A" w14:textId="77777777" w:rsidR="00CF1029" w:rsidRDefault="00823AFE">
            <w:pPr>
              <w:pStyle w:val="Tabellcell"/>
              <w:jc w:val="right"/>
            </w:pPr>
            <w:r>
              <w:t>0</w:t>
            </w:r>
          </w:p>
        </w:tc>
      </w:tr>
      <w:tr w:rsidR="00CF1029" w14:paraId="1F88E8ED"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03AAE48" w14:textId="77777777" w:rsidR="00CF1029" w:rsidRDefault="00823AFE">
            <w:pPr>
              <w:pStyle w:val="Tabellcell"/>
            </w:pPr>
            <w:r>
              <w:t>Finansiellt netto</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3CDCB1" w14:textId="77777777" w:rsidR="00CF1029" w:rsidRDefault="00823AFE">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EB58A6"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B4DD28" w14:textId="77777777" w:rsidR="00CF1029" w:rsidRDefault="00823AFE">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794FCF5" w14:textId="77777777" w:rsidR="00CF1029" w:rsidRDefault="00823AFE">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9B90A0A"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AC2DC99"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095D7E9" w14:textId="77777777" w:rsidR="00CF1029" w:rsidRDefault="00823AFE">
            <w:pPr>
              <w:pStyle w:val="Tabellcell"/>
              <w:jc w:val="right"/>
            </w:pPr>
            <w:r>
              <w:t>1</w:t>
            </w:r>
          </w:p>
        </w:tc>
      </w:tr>
      <w:tr w:rsidR="00CF1029" w14:paraId="7161A646"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5C996C" w14:textId="77777777" w:rsidR="00CF1029" w:rsidRDefault="00823AFE">
            <w:pPr>
              <w:pStyle w:val="Tabellcell"/>
            </w:pPr>
            <w:r>
              <w:t>Resultat efter fin poster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76AF76" w14:textId="77777777" w:rsidR="00CF1029" w:rsidRDefault="00823AFE">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35F293" w14:textId="77777777" w:rsidR="00CF1029" w:rsidRDefault="00823AFE">
            <w:pPr>
              <w:pStyle w:val="Tabellcell"/>
              <w:jc w:val="right"/>
            </w:pPr>
            <w: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A7A76E" w14:textId="77777777" w:rsidR="00CF1029" w:rsidRDefault="00823AFE">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CED904" w14:textId="77777777" w:rsidR="00CF1029" w:rsidRDefault="00823AFE">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5682ED1"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D8EE64" w14:textId="77777777" w:rsidR="00CF1029" w:rsidRDefault="00823AFE">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53E481E" w14:textId="77777777" w:rsidR="00CF1029" w:rsidRDefault="00823AFE">
            <w:pPr>
              <w:pStyle w:val="Tabellcell"/>
              <w:jc w:val="right"/>
            </w:pPr>
            <w:r>
              <w:t>1</w:t>
            </w:r>
          </w:p>
        </w:tc>
      </w:tr>
    </w:tbl>
    <w:p w14:paraId="4A34C38A" w14:textId="77777777" w:rsidR="00CF1029" w:rsidRDefault="00823AFE">
      <w:pPr>
        <w:pStyle w:val="Rubrik3"/>
      </w:pPr>
      <w:bookmarkStart w:id="17" w:name="_Toc132262493"/>
      <w:r>
        <w:t>Investeringsredovisning</w:t>
      </w:r>
      <w:bookmarkEnd w:id="17"/>
    </w:p>
    <w:p w14:paraId="653E6590" w14:textId="77777777" w:rsidR="00CF1029" w:rsidRDefault="00823AFE">
      <w:pPr>
        <w:pStyle w:val="Rubrik4"/>
      </w:pPr>
      <w:r>
        <w:t>Projektredovisning investeringsobjekt, pågående och kommande projekt enligt investeringsplaner</w:t>
      </w:r>
    </w:p>
    <w:tbl>
      <w:tblPr>
        <w:tblStyle w:val="Tabellrutnt"/>
        <w:tblOverlap w:val="never"/>
        <w:tblW w:w="0" w:type="auto"/>
        <w:tblLayout w:type="fixed"/>
        <w:tblLook w:val="04A0" w:firstRow="1" w:lastRow="0" w:firstColumn="1" w:lastColumn="0" w:noHBand="0" w:noVBand="1"/>
      </w:tblPr>
      <w:tblGrid>
        <w:gridCol w:w="3288"/>
        <w:gridCol w:w="1020"/>
        <w:gridCol w:w="1020"/>
        <w:gridCol w:w="1020"/>
        <w:gridCol w:w="1020"/>
      </w:tblGrid>
      <w:tr w:rsidR="00CF1029" w14:paraId="504CE844" w14:textId="77777777">
        <w:trPr>
          <w:cantSplit w:val="0"/>
        </w:trPr>
        <w:tc>
          <w:tcPr>
            <w:tcW w:w="3288" w:type="dxa"/>
            <w:tcBorders>
              <w:top w:val="single" w:sz="4" w:space="0" w:color="auto"/>
              <w:left w:val="single" w:sz="4" w:space="0" w:color="auto"/>
              <w:bottom w:val="single" w:sz="18" w:space="0" w:color="auto"/>
              <w:right w:val="single" w:sz="4" w:space="0" w:color="auto"/>
            </w:tcBorders>
            <w:shd w:val="clear" w:color="auto" w:fill="E5E5E5"/>
            <w:vAlign w:val="center"/>
          </w:tcPr>
          <w:p w14:paraId="25CB3CC0" w14:textId="77777777" w:rsidR="00CF1029" w:rsidRDefault="00823AFE">
            <w:pPr>
              <w:pStyle w:val="Tabellcell"/>
            </w:pPr>
            <w:r>
              <w:rPr>
                <w:b/>
              </w:rPr>
              <w:t>Benämning projekt enligt investeringsplan, i mnkr</w:t>
            </w:r>
          </w:p>
        </w:tc>
        <w:tc>
          <w:tcPr>
            <w:tcW w:w="1020" w:type="dxa"/>
            <w:tcBorders>
              <w:top w:val="single" w:sz="4" w:space="0" w:color="auto"/>
              <w:left w:val="single" w:sz="4" w:space="0" w:color="auto"/>
              <w:bottom w:val="single" w:sz="18" w:space="0" w:color="auto"/>
              <w:right w:val="single" w:sz="4" w:space="0" w:color="auto"/>
            </w:tcBorders>
            <w:shd w:val="clear" w:color="auto" w:fill="E5E5E5"/>
            <w:vAlign w:val="center"/>
          </w:tcPr>
          <w:p w14:paraId="00E659C3" w14:textId="77777777" w:rsidR="00CF1029" w:rsidRDefault="00823AFE">
            <w:pPr>
              <w:pStyle w:val="Tabellcell"/>
              <w:jc w:val="center"/>
            </w:pPr>
            <w:r>
              <w:rPr>
                <w:b/>
              </w:rPr>
              <w:t>Budget per projekt</w:t>
            </w:r>
          </w:p>
        </w:tc>
        <w:tc>
          <w:tcPr>
            <w:tcW w:w="1020" w:type="dxa"/>
            <w:tcBorders>
              <w:top w:val="single" w:sz="4" w:space="0" w:color="auto"/>
              <w:left w:val="single" w:sz="4" w:space="0" w:color="auto"/>
              <w:bottom w:val="single" w:sz="18" w:space="0" w:color="auto"/>
              <w:right w:val="single" w:sz="4" w:space="0" w:color="auto"/>
            </w:tcBorders>
            <w:shd w:val="clear" w:color="auto" w:fill="E5E5E5"/>
            <w:vAlign w:val="center"/>
          </w:tcPr>
          <w:p w14:paraId="200E304F" w14:textId="77777777" w:rsidR="00CF1029" w:rsidRDefault="00823AFE">
            <w:pPr>
              <w:pStyle w:val="Tabellcell"/>
              <w:jc w:val="center"/>
            </w:pPr>
            <w:r>
              <w:rPr>
                <w:b/>
              </w:rPr>
              <w:t>Ack utfall tom perioden</w:t>
            </w:r>
          </w:p>
        </w:tc>
        <w:tc>
          <w:tcPr>
            <w:tcW w:w="1020" w:type="dxa"/>
            <w:tcBorders>
              <w:top w:val="single" w:sz="4" w:space="0" w:color="auto"/>
              <w:left w:val="single" w:sz="4" w:space="0" w:color="auto"/>
              <w:bottom w:val="single" w:sz="18" w:space="0" w:color="auto"/>
              <w:right w:val="single" w:sz="4" w:space="0" w:color="auto"/>
            </w:tcBorders>
            <w:shd w:val="clear" w:color="auto" w:fill="E5E5E5"/>
            <w:vAlign w:val="center"/>
          </w:tcPr>
          <w:p w14:paraId="5B600F74" w14:textId="77777777" w:rsidR="00CF1029" w:rsidRDefault="00823AFE">
            <w:pPr>
              <w:pStyle w:val="Tabellcell"/>
              <w:jc w:val="center"/>
            </w:pPr>
            <w:r>
              <w:rPr>
                <w:b/>
              </w:rPr>
              <w:t>Aktuell prognos för hela projektet</w:t>
            </w:r>
          </w:p>
        </w:tc>
        <w:tc>
          <w:tcPr>
            <w:tcW w:w="1020" w:type="dxa"/>
            <w:tcBorders>
              <w:top w:val="single" w:sz="4" w:space="0" w:color="auto"/>
              <w:left w:val="single" w:sz="4" w:space="0" w:color="auto"/>
              <w:bottom w:val="single" w:sz="18" w:space="0" w:color="auto"/>
              <w:right w:val="single" w:sz="4" w:space="0" w:color="auto"/>
            </w:tcBorders>
            <w:shd w:val="clear" w:color="auto" w:fill="E5E5E5"/>
            <w:vAlign w:val="center"/>
          </w:tcPr>
          <w:p w14:paraId="0F3DC8CC" w14:textId="77777777" w:rsidR="00CF1029" w:rsidRDefault="00823AFE">
            <w:pPr>
              <w:pStyle w:val="Tabellcell"/>
              <w:jc w:val="center"/>
            </w:pPr>
            <w:r>
              <w:rPr>
                <w:b/>
              </w:rPr>
              <w:t xml:space="preserve">Beräknas färdigt (år, </w:t>
            </w:r>
            <w:proofErr w:type="spellStart"/>
            <w:r>
              <w:rPr>
                <w:b/>
              </w:rPr>
              <w:t>kv</w:t>
            </w:r>
            <w:proofErr w:type="spellEnd"/>
            <w:r>
              <w:rPr>
                <w:b/>
              </w:rPr>
              <w:t>)</w:t>
            </w:r>
          </w:p>
        </w:tc>
      </w:tr>
      <w:tr w:rsidR="00CF1029" w14:paraId="588CD0ED" w14:textId="77777777">
        <w:trPr>
          <w:cantSplit w:val="0"/>
        </w:trPr>
        <w:tc>
          <w:tcPr>
            <w:tcW w:w="3288" w:type="dxa"/>
            <w:tcBorders>
              <w:top w:val="single" w:sz="18" w:space="0" w:color="auto"/>
              <w:left w:val="single" w:sz="4" w:space="0" w:color="auto"/>
              <w:bottom w:val="single" w:sz="4" w:space="0" w:color="auto"/>
              <w:right w:val="single" w:sz="4" w:space="0" w:color="auto"/>
            </w:tcBorders>
            <w:shd w:val="clear" w:color="auto" w:fill="FFFFFF"/>
            <w:vAlign w:val="center"/>
          </w:tcPr>
          <w:p w14:paraId="31774E59" w14:textId="77777777" w:rsidR="00CF1029" w:rsidRDefault="00823AFE">
            <w:pPr>
              <w:pStyle w:val="Tabellcell"/>
            </w:pPr>
            <w:r>
              <w:lastRenderedPageBreak/>
              <w:t xml:space="preserve">Uppgradering </w:t>
            </w:r>
            <w:proofErr w:type="spellStart"/>
            <w:r>
              <w:t>Hastus</w:t>
            </w:r>
            <w:proofErr w:type="spellEnd"/>
          </w:p>
        </w:tc>
        <w:tc>
          <w:tcPr>
            <w:tcW w:w="1020" w:type="dxa"/>
            <w:tcBorders>
              <w:top w:val="single" w:sz="18" w:space="0" w:color="auto"/>
              <w:left w:val="single" w:sz="4" w:space="0" w:color="auto"/>
              <w:bottom w:val="single" w:sz="4" w:space="0" w:color="auto"/>
              <w:right w:val="single" w:sz="4" w:space="0" w:color="auto"/>
            </w:tcBorders>
            <w:shd w:val="clear" w:color="auto" w:fill="FFFFFF"/>
            <w:vAlign w:val="center"/>
          </w:tcPr>
          <w:p w14:paraId="49057769" w14:textId="77777777" w:rsidR="00CF1029" w:rsidRDefault="00823AFE">
            <w:pPr>
              <w:pStyle w:val="Tabellcell"/>
              <w:jc w:val="right"/>
            </w:pPr>
            <w:r>
              <w:t>35,0 Mkr</w:t>
            </w:r>
          </w:p>
        </w:tc>
        <w:tc>
          <w:tcPr>
            <w:tcW w:w="1020" w:type="dxa"/>
            <w:tcBorders>
              <w:top w:val="single" w:sz="18" w:space="0" w:color="auto"/>
              <w:left w:val="single" w:sz="4" w:space="0" w:color="auto"/>
              <w:bottom w:val="single" w:sz="4" w:space="0" w:color="auto"/>
              <w:right w:val="single" w:sz="4" w:space="0" w:color="auto"/>
            </w:tcBorders>
            <w:shd w:val="clear" w:color="auto" w:fill="FFFFFF"/>
            <w:vAlign w:val="center"/>
          </w:tcPr>
          <w:p w14:paraId="71C2D121" w14:textId="77777777" w:rsidR="00CF1029" w:rsidRDefault="00823AFE">
            <w:pPr>
              <w:pStyle w:val="Tabellcell"/>
              <w:jc w:val="right"/>
            </w:pPr>
            <w:r>
              <w:t>13,2 Mkr</w:t>
            </w:r>
          </w:p>
        </w:tc>
        <w:tc>
          <w:tcPr>
            <w:tcW w:w="1020" w:type="dxa"/>
            <w:tcBorders>
              <w:top w:val="single" w:sz="18" w:space="0" w:color="auto"/>
              <w:left w:val="single" w:sz="4" w:space="0" w:color="auto"/>
              <w:bottom w:val="single" w:sz="4" w:space="0" w:color="auto"/>
              <w:right w:val="single" w:sz="4" w:space="0" w:color="auto"/>
            </w:tcBorders>
            <w:shd w:val="clear" w:color="auto" w:fill="FFFFFF"/>
            <w:vAlign w:val="center"/>
          </w:tcPr>
          <w:p w14:paraId="59DDE4F5" w14:textId="77777777" w:rsidR="00CF1029" w:rsidRDefault="00823AFE">
            <w:pPr>
              <w:pStyle w:val="Tabellcell"/>
              <w:jc w:val="right"/>
            </w:pPr>
            <w:r>
              <w:t>35,0 Mkr</w:t>
            </w:r>
          </w:p>
        </w:tc>
        <w:tc>
          <w:tcPr>
            <w:tcW w:w="1020" w:type="dxa"/>
            <w:tcBorders>
              <w:top w:val="single" w:sz="18" w:space="0" w:color="auto"/>
              <w:left w:val="single" w:sz="4" w:space="0" w:color="auto"/>
              <w:bottom w:val="single" w:sz="4" w:space="0" w:color="auto"/>
              <w:right w:val="single" w:sz="4" w:space="0" w:color="auto"/>
            </w:tcBorders>
            <w:shd w:val="clear" w:color="auto" w:fill="FFFFFF"/>
            <w:vAlign w:val="center"/>
          </w:tcPr>
          <w:p w14:paraId="30A58284" w14:textId="77777777" w:rsidR="00CF1029" w:rsidRDefault="00823AFE">
            <w:pPr>
              <w:pStyle w:val="Tabellcell"/>
              <w:jc w:val="right"/>
            </w:pPr>
            <w:proofErr w:type="gramStart"/>
            <w:r>
              <w:t>2024 ,</w:t>
            </w:r>
            <w:proofErr w:type="gramEnd"/>
            <w:r>
              <w:t xml:space="preserve"> Q1</w:t>
            </w:r>
          </w:p>
        </w:tc>
      </w:tr>
      <w:tr w:rsidR="00CF1029" w14:paraId="01DF98AD" w14:textId="77777777">
        <w:trPr>
          <w:cantSplit w:val="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2D37FF2C" w14:textId="77777777" w:rsidR="00CF1029" w:rsidRDefault="00823AFE">
            <w:pPr>
              <w:pStyle w:val="Tabellcell"/>
            </w:pPr>
            <w:proofErr w:type="spellStart"/>
            <w:r>
              <w:t>Slipfordon</w:t>
            </w:r>
            <w:proofErr w:type="spellEnd"/>
            <w:r>
              <w:t xml:space="preserve"> ersättare</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5845041D" w14:textId="77777777" w:rsidR="00CF1029" w:rsidRDefault="00823AFE">
            <w:pPr>
              <w:pStyle w:val="Tabellcell"/>
              <w:jc w:val="right"/>
            </w:pPr>
            <w:r>
              <w:t>28,0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ABBB129" w14:textId="77777777" w:rsidR="00CF1029" w:rsidRDefault="00823AFE">
            <w:pPr>
              <w:pStyle w:val="Tabellcell"/>
              <w:jc w:val="right"/>
            </w:pPr>
            <w:r>
              <w:t>8,1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D886FED" w14:textId="77777777" w:rsidR="00CF1029" w:rsidRDefault="00823AFE">
            <w:pPr>
              <w:pStyle w:val="Tabellcell"/>
              <w:jc w:val="right"/>
            </w:pPr>
            <w:r>
              <w:t>28,0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63A9E81" w14:textId="77777777" w:rsidR="00CF1029" w:rsidRDefault="00823AFE">
            <w:pPr>
              <w:pStyle w:val="Tabellcell"/>
              <w:jc w:val="right"/>
            </w:pPr>
            <w:proofErr w:type="gramStart"/>
            <w:r>
              <w:t>2023 ,</w:t>
            </w:r>
            <w:proofErr w:type="gramEnd"/>
            <w:r>
              <w:t xml:space="preserve"> Q3</w:t>
            </w:r>
          </w:p>
        </w:tc>
      </w:tr>
      <w:tr w:rsidR="00CF1029" w14:paraId="281B1477" w14:textId="77777777">
        <w:trPr>
          <w:cantSplit w:val="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79F0E834" w14:textId="77777777" w:rsidR="00CF1029" w:rsidRDefault="00823AFE">
            <w:pPr>
              <w:pStyle w:val="Tabellcell"/>
            </w:pPr>
            <w:proofErr w:type="spellStart"/>
            <w:r>
              <w:t>Hjulmätn.utrustning</w:t>
            </w:r>
            <w:proofErr w:type="spellEnd"/>
            <w:r>
              <w:t xml:space="preserve"> RTX, MX</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A091E69" w14:textId="77777777" w:rsidR="00CF1029" w:rsidRDefault="00823AFE">
            <w:pPr>
              <w:pStyle w:val="Tabellcell"/>
              <w:jc w:val="right"/>
            </w:pPr>
            <w:r>
              <w:t>20,0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AE074F1" w14:textId="77777777" w:rsidR="00CF1029" w:rsidRDefault="00823AFE">
            <w:pPr>
              <w:pStyle w:val="Tabellcell"/>
              <w:jc w:val="right"/>
            </w:pPr>
            <w:r>
              <w:t>3,7</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4FF31060" w14:textId="77777777" w:rsidR="00CF1029" w:rsidRDefault="00823AFE">
            <w:pPr>
              <w:pStyle w:val="Tabellcell"/>
              <w:jc w:val="right"/>
            </w:pPr>
            <w:r>
              <w:t>20,0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AC81003" w14:textId="77777777" w:rsidR="00CF1029" w:rsidRDefault="00823AFE">
            <w:pPr>
              <w:pStyle w:val="Tabellcell"/>
              <w:jc w:val="right"/>
            </w:pPr>
            <w:proofErr w:type="gramStart"/>
            <w:r>
              <w:t>2024 ,</w:t>
            </w:r>
            <w:proofErr w:type="gramEnd"/>
            <w:r>
              <w:t xml:space="preserve"> Q1</w:t>
            </w:r>
          </w:p>
        </w:tc>
      </w:tr>
      <w:tr w:rsidR="00CF1029" w14:paraId="79776A08" w14:textId="77777777">
        <w:trPr>
          <w:cantSplit w:val="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31ECD6BF" w14:textId="77777777" w:rsidR="00CF1029" w:rsidRDefault="00823AFE">
            <w:pPr>
              <w:pStyle w:val="Tabellcell"/>
            </w:pPr>
            <w:r>
              <w:t>Skenrensare ersättare för RSS061</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5F73C18" w14:textId="77777777" w:rsidR="00CF1029" w:rsidRDefault="00823AFE">
            <w:pPr>
              <w:pStyle w:val="Tabellcell"/>
              <w:jc w:val="right"/>
            </w:pPr>
            <w:r>
              <w:t>10,0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58C95556" w14:textId="77777777" w:rsidR="00CF1029" w:rsidRDefault="00823AFE">
            <w:pPr>
              <w:pStyle w:val="Tabellcell"/>
              <w:jc w:val="right"/>
            </w:pPr>
            <w:r>
              <w:t>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EDB9E4E" w14:textId="77777777" w:rsidR="00CF1029" w:rsidRDefault="00823AFE">
            <w:pPr>
              <w:pStyle w:val="Tabellcell"/>
              <w:jc w:val="right"/>
            </w:pPr>
            <w:r>
              <w:t>10,0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0A54FCEB" w14:textId="77777777" w:rsidR="00CF1029" w:rsidRDefault="00823AFE">
            <w:pPr>
              <w:pStyle w:val="Tabellcell"/>
              <w:jc w:val="right"/>
            </w:pPr>
            <w:proofErr w:type="gramStart"/>
            <w:r>
              <w:t>2023 ,</w:t>
            </w:r>
            <w:proofErr w:type="gramEnd"/>
            <w:r>
              <w:t xml:space="preserve"> Q4</w:t>
            </w:r>
          </w:p>
        </w:tc>
      </w:tr>
      <w:tr w:rsidR="00CF1029" w14:paraId="16E1806A" w14:textId="77777777">
        <w:trPr>
          <w:cantSplit w:val="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752BAA9E" w14:textId="77777777" w:rsidR="00CF1029" w:rsidRDefault="00823AFE">
            <w:pPr>
              <w:pStyle w:val="Tabellcell"/>
            </w:pPr>
            <w:r>
              <w:t>Montagebil ers för WFX976</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73D5707" w14:textId="77777777" w:rsidR="00CF1029" w:rsidRDefault="00823AFE">
            <w:pPr>
              <w:pStyle w:val="Tabellcell"/>
              <w:jc w:val="right"/>
            </w:pPr>
            <w:r>
              <w:t>10,0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7740631C" w14:textId="77777777" w:rsidR="00CF1029" w:rsidRDefault="00823AFE">
            <w:pPr>
              <w:pStyle w:val="Tabellcell"/>
              <w:jc w:val="right"/>
            </w:pPr>
            <w:r>
              <w:t>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7C271285" w14:textId="77777777" w:rsidR="00CF1029" w:rsidRDefault="00823AFE">
            <w:pPr>
              <w:pStyle w:val="Tabellcell"/>
              <w:jc w:val="right"/>
            </w:pPr>
            <w:r>
              <w:t>10,0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01FE6125" w14:textId="77777777" w:rsidR="00CF1029" w:rsidRDefault="00823AFE">
            <w:pPr>
              <w:pStyle w:val="Tabellcell"/>
              <w:jc w:val="right"/>
            </w:pPr>
            <w:proofErr w:type="gramStart"/>
            <w:r>
              <w:t>2023 ,</w:t>
            </w:r>
            <w:proofErr w:type="gramEnd"/>
            <w:r>
              <w:t xml:space="preserve"> Q4</w:t>
            </w:r>
          </w:p>
        </w:tc>
      </w:tr>
      <w:tr w:rsidR="00CF1029" w14:paraId="0D5D61BF" w14:textId="77777777">
        <w:trPr>
          <w:cantSplit w:val="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64083049" w14:textId="77777777" w:rsidR="00CF1029" w:rsidRDefault="00823AFE">
            <w:pPr>
              <w:pStyle w:val="Tabellcell"/>
            </w:pPr>
            <w:r>
              <w:t>Montagebil ers för EGN377</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9313FD4" w14:textId="77777777" w:rsidR="00CF1029" w:rsidRDefault="00823AFE">
            <w:pPr>
              <w:pStyle w:val="Tabellcell"/>
              <w:jc w:val="right"/>
            </w:pPr>
            <w:r>
              <w:t>10,0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16A83A7" w14:textId="77777777" w:rsidR="00CF1029" w:rsidRDefault="00823AFE">
            <w:pPr>
              <w:pStyle w:val="Tabellcell"/>
              <w:jc w:val="right"/>
            </w:pPr>
            <w:r>
              <w:t>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4E497D20" w14:textId="77777777" w:rsidR="00CF1029" w:rsidRDefault="00823AFE">
            <w:pPr>
              <w:pStyle w:val="Tabellcell"/>
              <w:jc w:val="right"/>
            </w:pPr>
            <w:r>
              <w:t>10,0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74521E32" w14:textId="77777777" w:rsidR="00CF1029" w:rsidRDefault="00823AFE">
            <w:pPr>
              <w:pStyle w:val="Tabellcell"/>
              <w:jc w:val="right"/>
            </w:pPr>
            <w:proofErr w:type="gramStart"/>
            <w:r>
              <w:t>2023 ,</w:t>
            </w:r>
            <w:proofErr w:type="gramEnd"/>
            <w:r>
              <w:t xml:space="preserve"> Q4</w:t>
            </w:r>
          </w:p>
        </w:tc>
      </w:tr>
      <w:tr w:rsidR="00CF1029" w14:paraId="02C459EA" w14:textId="77777777">
        <w:trPr>
          <w:cantSplit w:val="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527BA059" w14:textId="77777777" w:rsidR="00CF1029" w:rsidRDefault="00823AFE">
            <w:pPr>
              <w:pStyle w:val="Tabellcell"/>
            </w:pPr>
            <w:r>
              <w:t>Lastbil ersättare för CWO 402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BC34681" w14:textId="77777777" w:rsidR="00CF1029" w:rsidRDefault="00823AFE">
            <w:pPr>
              <w:pStyle w:val="Tabellcell"/>
              <w:jc w:val="right"/>
            </w:pPr>
            <w:r>
              <w:t>6,0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D74AA57" w14:textId="77777777" w:rsidR="00CF1029" w:rsidRDefault="00823AFE">
            <w:pPr>
              <w:pStyle w:val="Tabellcell"/>
              <w:jc w:val="right"/>
            </w:pPr>
            <w:r>
              <w:t>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FB79F9A" w14:textId="77777777" w:rsidR="00CF1029" w:rsidRDefault="00823AFE">
            <w:pPr>
              <w:pStyle w:val="Tabellcell"/>
              <w:jc w:val="right"/>
            </w:pPr>
            <w:r>
              <w:t>6,0 Mkr</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0272A22D" w14:textId="77777777" w:rsidR="00CF1029" w:rsidRDefault="00823AFE">
            <w:pPr>
              <w:pStyle w:val="Tabellcell"/>
              <w:jc w:val="right"/>
            </w:pPr>
            <w:proofErr w:type="gramStart"/>
            <w:r>
              <w:t>2023 ,</w:t>
            </w:r>
            <w:proofErr w:type="gramEnd"/>
            <w:r>
              <w:t xml:space="preserve"> Q2</w:t>
            </w:r>
          </w:p>
        </w:tc>
      </w:tr>
    </w:tbl>
    <w:p w14:paraId="41BA1703" w14:textId="77777777" w:rsidR="00CF1029" w:rsidRDefault="00823AFE">
      <w:pPr>
        <w:pStyle w:val="BodyText"/>
        <w:widowControl w:val="0"/>
        <w:spacing w:before="160"/>
      </w:pPr>
      <w:proofErr w:type="spellStart"/>
      <w:r>
        <w:t>Hjulmätn.utrustning</w:t>
      </w:r>
      <w:proofErr w:type="spellEnd"/>
      <w:r>
        <w:t xml:space="preserve"> RTX, MX består av 3 etapper där etapp 1 aktiveras under 2023.</w:t>
      </w:r>
    </w:p>
    <w:p w14:paraId="1B11B6FD" w14:textId="77777777" w:rsidR="00CF1029" w:rsidRDefault="00823AFE">
      <w:pPr>
        <w:pStyle w:val="Rubrik4"/>
      </w:pPr>
      <w:r>
        <w:t>Analys av investerings- och exploateringsverksamheten med anledning av omvärldsläget</w:t>
      </w:r>
    </w:p>
    <w:p w14:paraId="11A5BF23" w14:textId="77777777" w:rsidR="00CF1029" w:rsidRDefault="00823AFE">
      <w:pPr>
        <w:pStyle w:val="BodyText"/>
        <w:widowControl w:val="0"/>
      </w:pPr>
      <w:r>
        <w:t>Det finns risker med ökade kostnader på grund av inflationsläget. Dock är påverkan svår att identifiera. Prognosen är att omprioriteringar inte behöver göras i dagsläget.</w:t>
      </w:r>
    </w:p>
    <w:p w14:paraId="1EA2502C" w14:textId="77777777" w:rsidR="00CF1029" w:rsidRDefault="00823AFE">
      <w:pPr>
        <w:pStyle w:val="Rubrik2"/>
      </w:pPr>
      <w:bookmarkStart w:id="18" w:name="_Toc132262494"/>
      <w:r>
        <w:t>Uppföljning av särskilda beslut och uppdrag</w:t>
      </w:r>
      <w:bookmarkEnd w:id="18"/>
    </w:p>
    <w:p w14:paraId="53EA7323" w14:textId="77777777" w:rsidR="00CF1029" w:rsidRDefault="00823AFE">
      <w:pPr>
        <w:pStyle w:val="Rubrik3"/>
      </w:pPr>
      <w:bookmarkStart w:id="19" w:name="_Toc132262495"/>
      <w:r>
        <w:t>Åtgärder kopplade till energiförsörjningen</w:t>
      </w:r>
      <w:bookmarkEnd w:id="19"/>
    </w:p>
    <w:p w14:paraId="644FE6AC" w14:textId="77777777" w:rsidR="00CF1029" w:rsidRDefault="00823AFE">
      <w:pPr>
        <w:pStyle w:val="Rubrik4"/>
      </w:pPr>
      <w:r>
        <w:t>Samtliga nämnder och bolag får i uppdrag att förbereda och genomföra energieffektiviserande och energibesparande åtgärder i syfte att minska energiförbrukningen och effektbehovet inför vintern 2022/23.</w:t>
      </w:r>
    </w:p>
    <w:p w14:paraId="68512FF8" w14:textId="77777777" w:rsidR="00CF1029" w:rsidRDefault="00823AFE">
      <w:pPr>
        <w:pStyle w:val="Rubrik5"/>
      </w:pPr>
      <w:r>
        <w:t>Hur har nämnden/styrelsen informerats om uppdraget och dess genomförande?</w:t>
      </w:r>
    </w:p>
    <w:p w14:paraId="0DAA34FB" w14:textId="77777777" w:rsidR="00CF1029" w:rsidRDefault="00823AFE">
      <w:pPr>
        <w:pStyle w:val="BodyText"/>
        <w:widowControl w:val="0"/>
      </w:pPr>
      <w:r>
        <w:t>Styrelsen informerades om uppdraget på styrelsemöte 22-11-23. Protokoll § 136 stadgar VD:s uppdrag samt krav på återrapportering.</w:t>
      </w:r>
    </w:p>
    <w:p w14:paraId="55BF4CA3" w14:textId="77777777" w:rsidR="00CF1029" w:rsidRDefault="00823AFE">
      <w:pPr>
        <w:pStyle w:val="Rubrik5"/>
      </w:pPr>
      <w:r>
        <w:t>Hur säkerställer ni att arbetet med planerade och redan genomförda åtgärder fortgår i verksamheten efter projektets avslut?</w:t>
      </w:r>
    </w:p>
    <w:p w14:paraId="26EBDFAF" w14:textId="77777777" w:rsidR="00CF1029" w:rsidRDefault="00823AFE">
      <w:pPr>
        <w:pStyle w:val="BodyText"/>
        <w:widowControl w:val="0"/>
      </w:pPr>
      <w:r>
        <w:t>Arbetet är en del i bolagets fortlöpande hållbarhetsarbete (Se Årsberättelse kapitel Hållbarhetsredovisning) samt en del av bolagets Störningshanteringsplaner (Trafikreduceringsplaner). Samordningsperson är utsedd.</w:t>
      </w:r>
    </w:p>
    <w:p w14:paraId="41F10794" w14:textId="77777777" w:rsidR="00CF1029" w:rsidRDefault="00823AFE">
      <w:pPr>
        <w:pStyle w:val="BodyText"/>
        <w:widowControl w:val="0"/>
      </w:pPr>
      <w:r>
        <w:t>Åtgärderna som genomförs i samarbete med Västtrafik/Västfastigheter som fordons- och fastighetsägare är främst utbyte av Allmän belysning till LED belysning samt anskaffning av nya spårvagnar M33/M34 vilka förbrukar mindre el i jämförelse med dagens spårvagnsmodeller.</w:t>
      </w:r>
    </w:p>
    <w:p w14:paraId="56BC8BC9" w14:textId="77777777" w:rsidR="00CF1029" w:rsidRDefault="00823AFE">
      <w:pPr>
        <w:pStyle w:val="Rubrik5"/>
      </w:pPr>
      <w:r>
        <w:lastRenderedPageBreak/>
        <w:t>Vid ett scenario där steg 3 åtgärder enligt åtgärdstrappan i vägledningen (framtagen i projektet) kan behöva vidtas, hur ser beslutsgången ut för att kunna agera?</w:t>
      </w:r>
    </w:p>
    <w:p w14:paraId="1A4B81C0" w14:textId="77777777" w:rsidR="00CF1029" w:rsidRDefault="00823AFE">
      <w:pPr>
        <w:pStyle w:val="BodyText"/>
        <w:widowControl w:val="0"/>
      </w:pPr>
      <w:r>
        <w:t>Åtgärder som genomförts i samarbete med Västtrafik är planerandet av Störningshanteringsplaner (Trafikreduceringsplaner 25/50/75%) som måste vidtagas vid större elbrist, dvs steg III. Efter erhållit lägesbild från Gbg Energi nätansvarig är GS Operativa chef (TIB) ansvarig för genomförande.</w:t>
      </w:r>
    </w:p>
    <w:p w14:paraId="5DBD7385" w14:textId="77777777" w:rsidR="00CF1029" w:rsidRDefault="00823AFE">
      <w:pPr>
        <w:pStyle w:val="Rubrik3"/>
      </w:pPr>
      <w:bookmarkStart w:id="20" w:name="_Toc132262496"/>
      <w:r>
        <w:t>Övriga beslut och/eller uppdrag</w:t>
      </w:r>
      <w:bookmarkEnd w:id="20"/>
    </w:p>
    <w:p w14:paraId="4805AE2D" w14:textId="77777777" w:rsidR="00CF1029" w:rsidRDefault="00823AFE">
      <w:pPr>
        <w:pStyle w:val="BodyText"/>
        <w:widowControl w:val="0"/>
      </w:pPr>
      <w:r>
        <w:rPr>
          <w:b/>
          <w:u w:val="single"/>
        </w:rPr>
        <w:t>Uppdrag Ny spårvagn:</w:t>
      </w:r>
    </w:p>
    <w:p w14:paraId="1CF7CDAA" w14:textId="77777777" w:rsidR="00CF1029" w:rsidRDefault="00823AFE">
      <w:pPr>
        <w:pStyle w:val="BodyText"/>
        <w:widowControl w:val="0"/>
      </w:pPr>
      <w:r>
        <w:t>I slutet av 2019 överläts avtalet med leverantören Bombardier/</w:t>
      </w:r>
      <w:proofErr w:type="spellStart"/>
      <w:r>
        <w:t>Kiepe</w:t>
      </w:r>
      <w:proofErr w:type="spellEnd"/>
      <w:r>
        <w:t xml:space="preserve"> (numera Alstom) till Västra Götalandsregionen. Detta innebär att </w:t>
      </w:r>
      <w:r>
        <w:rPr>
          <w:u w:val="single"/>
        </w:rPr>
        <w:t>Västtrafik affärsleder</w:t>
      </w:r>
      <w:r>
        <w:t xml:space="preserve"> Uppdrag Ny spårvagn medan </w:t>
      </w:r>
      <w:r>
        <w:rPr>
          <w:u w:val="single"/>
        </w:rPr>
        <w:t>GSAB projektleder</w:t>
      </w:r>
      <w:r>
        <w:t xml:space="preserve"> Uppdrag Ny spårvagn.</w:t>
      </w:r>
    </w:p>
    <w:p w14:paraId="6999BA03" w14:textId="77777777" w:rsidR="00CF1029" w:rsidRDefault="00823AFE">
      <w:pPr>
        <w:pStyle w:val="BodyText"/>
        <w:widowControl w:val="0"/>
      </w:pPr>
      <w:proofErr w:type="spellStart"/>
      <w:r>
        <w:t>Batch</w:t>
      </w:r>
      <w:proofErr w:type="spellEnd"/>
      <w:r>
        <w:t xml:space="preserve"> nr1 – 40st M33:</w:t>
      </w:r>
    </w:p>
    <w:p w14:paraId="4981FB54" w14:textId="77777777" w:rsidR="00CF1029" w:rsidRDefault="00823AFE">
      <w:pPr>
        <w:pStyle w:val="BodyText"/>
        <w:widowControl w:val="0"/>
      </w:pPr>
      <w:r>
        <w:t>De två första M33 vagnarna levererades under våren 2020 och har efter tester och myndighetsgodkännande satts i trafik. Dessa vagnar har producerat de 20 000 km som avtalet stipulerar och är föremål för slutligt godkännande. Ytterligare 28st vagnar har levererats och det finns en leveransplan mot sommaren 2023 för de resterande 10st vagnarna som ingick i den första beställningen.</w:t>
      </w:r>
    </w:p>
    <w:p w14:paraId="1A93911F" w14:textId="77777777" w:rsidR="00CF1029" w:rsidRDefault="00823AFE">
      <w:pPr>
        <w:pStyle w:val="BodyText"/>
        <w:widowControl w:val="0"/>
      </w:pPr>
      <w:proofErr w:type="spellStart"/>
      <w:r>
        <w:t>Batch</w:t>
      </w:r>
      <w:proofErr w:type="spellEnd"/>
      <w:r>
        <w:t xml:space="preserve"> nr2 – 40st M34:</w:t>
      </w:r>
    </w:p>
    <w:p w14:paraId="2A33104E" w14:textId="77777777" w:rsidR="00CF1029" w:rsidRDefault="00823AFE">
      <w:pPr>
        <w:pStyle w:val="BodyText"/>
        <w:widowControl w:val="0"/>
      </w:pPr>
      <w:r>
        <w:t>Ytterligare 40st vagnar, M34, har beställts av Västra Götalandsregionen för påbörjan av leverans i början av 2024 samtidigt som depå Ringön etapp II driftsätts.</w:t>
      </w:r>
    </w:p>
    <w:p w14:paraId="0405431A" w14:textId="77777777" w:rsidR="00CF1029" w:rsidRDefault="00823AFE">
      <w:pPr>
        <w:pStyle w:val="BodyText"/>
        <w:widowControl w:val="0"/>
      </w:pPr>
      <w:proofErr w:type="spellStart"/>
      <w:r>
        <w:t>Batch</w:t>
      </w:r>
      <w:proofErr w:type="spellEnd"/>
      <w:r>
        <w:t xml:space="preserve"> nr3 – 20st M34:</w:t>
      </w:r>
    </w:p>
    <w:p w14:paraId="58EBE9DA" w14:textId="77777777" w:rsidR="00CF1029" w:rsidRDefault="00823AFE">
      <w:pPr>
        <w:pStyle w:val="BodyText"/>
        <w:widowControl w:val="0"/>
      </w:pPr>
      <w:r>
        <w:t>Ytterligare 20st vagnar, M34 har beställts av Västra Götalandsregionen för bedömd slutleverans 2026 alternativt kvartal 1 2027.</w:t>
      </w:r>
    </w:p>
    <w:p w14:paraId="6D772CE1" w14:textId="77777777" w:rsidR="00CF1029" w:rsidRDefault="00823AFE">
      <w:pPr>
        <w:pStyle w:val="BodyText"/>
        <w:widowControl w:val="0"/>
      </w:pPr>
      <w:r>
        <w:t xml:space="preserve">Tyvärr är projektet i sin helhet drabbat av förseningar, bland annat beroende på den pandemi som har varit samt därefter </w:t>
      </w:r>
      <w:proofErr w:type="spellStart"/>
      <w:r>
        <w:t>pga</w:t>
      </w:r>
      <w:proofErr w:type="spellEnd"/>
      <w:r>
        <w:t xml:space="preserve"> kriget i Ukraina. Detta drabbar projektet negativt på många olika sätt. Projektet i sin helhet bedöms i nuläget vara slutlevererat våren 2027.</w:t>
      </w:r>
    </w:p>
    <w:p w14:paraId="1001A808" w14:textId="77777777" w:rsidR="00CF1029" w:rsidRDefault="00823AFE">
      <w:pPr>
        <w:pStyle w:val="BodyText"/>
        <w:widowControl w:val="0"/>
      </w:pPr>
      <w:r>
        <w:rPr>
          <w:b/>
          <w:u w:val="single"/>
        </w:rPr>
        <w:t>Uppdrag Ny spårvagnsdepå Ringön etapp II:</w:t>
      </w:r>
    </w:p>
    <w:p w14:paraId="2A97EAC9" w14:textId="77777777" w:rsidR="00CF1029" w:rsidRDefault="00823AFE">
      <w:pPr>
        <w:pStyle w:val="BodyText"/>
        <w:widowControl w:val="0"/>
      </w:pPr>
      <w:r>
        <w:t xml:space="preserve">Under 2020 invigdes spårvagnsdepå Ringön etapp I. Baserat på erfarenheterna </w:t>
      </w:r>
      <w:r>
        <w:rPr>
          <w:u w:val="single"/>
        </w:rPr>
        <w:t>delprojektleder GSAB</w:t>
      </w:r>
      <w:r>
        <w:t xml:space="preserve"> även etableringen av etapp II för att kunna ha erforderlig depåkapacitet i synk med leveranserna av den första M34 vagnen i början av 2024. Uppdrag Ny spårvagnsdepå Ringön etapp II </w:t>
      </w:r>
      <w:r>
        <w:rPr>
          <w:u w:val="single"/>
        </w:rPr>
        <w:t>projektleds av Västtrafik/Västfastigheter</w:t>
      </w:r>
      <w:r>
        <w:t>.</w:t>
      </w:r>
    </w:p>
    <w:p w14:paraId="2116FD7C" w14:textId="77777777" w:rsidR="00CF1029" w:rsidRDefault="00823AFE">
      <w:pPr>
        <w:pStyle w:val="BodyText"/>
        <w:widowControl w:val="0"/>
      </w:pPr>
      <w:r>
        <w:t> </w:t>
      </w:r>
    </w:p>
    <w:p w14:paraId="0A073712" w14:textId="77777777" w:rsidR="00CF1029" w:rsidRDefault="00823AFE">
      <w:pPr>
        <w:pStyle w:val="Rubrik1-Sidbryt"/>
      </w:pPr>
      <w:bookmarkStart w:id="21" w:name="_Toc132262497"/>
      <w:r>
        <w:lastRenderedPageBreak/>
        <w:t>Uppföljning till Göteborgs Stadshus AB</w:t>
      </w:r>
      <w:bookmarkEnd w:id="21"/>
    </w:p>
    <w:p w14:paraId="51D869C8" w14:textId="77777777" w:rsidR="00CF1029" w:rsidRDefault="00823AFE">
      <w:pPr>
        <w:pStyle w:val="Rubrik2"/>
      </w:pPr>
      <w:bookmarkStart w:id="22" w:name="_Toc132262498"/>
      <w:r>
        <w:t>Uppföljning av bolagsstyrelsens utvärdering av eget arbete</w:t>
      </w:r>
      <w:bookmarkEnd w:id="22"/>
    </w:p>
    <w:p w14:paraId="765EF8FE" w14:textId="77777777" w:rsidR="00CF1029" w:rsidRDefault="00823AFE">
      <w:pPr>
        <w:pStyle w:val="Tabellrubrik"/>
      </w:pPr>
      <w:r>
        <w:t>Uppföljning av bolagsstyrelsens utvärdering av eget arbete 2022</w:t>
      </w:r>
    </w:p>
    <w:tbl>
      <w:tblPr>
        <w:tblStyle w:val="Tabellrutnt"/>
        <w:tblOverlap w:val="never"/>
        <w:tblW w:w="0" w:type="auto"/>
        <w:tblLook w:val="04A0" w:firstRow="1" w:lastRow="0" w:firstColumn="1" w:lastColumn="0" w:noHBand="0" w:noVBand="1"/>
      </w:tblPr>
      <w:tblGrid>
        <w:gridCol w:w="3680"/>
        <w:gridCol w:w="3680"/>
      </w:tblGrid>
      <w:tr w:rsidR="00CF1029" w14:paraId="0B0C4CE1" w14:textId="77777777">
        <w:trPr>
          <w:cantSplit w:val="0"/>
        </w:trPr>
        <w:tc>
          <w:tcPr>
            <w:tcW w:w="3685" w:type="dxa"/>
            <w:tcBorders>
              <w:top w:val="single" w:sz="4" w:space="0" w:color="auto"/>
              <w:left w:val="single" w:sz="4" w:space="0" w:color="auto"/>
              <w:bottom w:val="single" w:sz="18" w:space="0" w:color="auto"/>
              <w:right w:val="single" w:sz="4" w:space="0" w:color="auto"/>
            </w:tcBorders>
            <w:shd w:val="clear" w:color="auto" w:fill="E5E5E5"/>
            <w:vAlign w:val="center"/>
          </w:tcPr>
          <w:p w14:paraId="34831239" w14:textId="77777777" w:rsidR="00CF1029" w:rsidRDefault="00823AFE">
            <w:pPr>
              <w:pStyle w:val="Tabellcell"/>
            </w:pPr>
            <w:r>
              <w:rPr>
                <w:b/>
              </w:rPr>
              <w:t>Datum för beslut</w:t>
            </w:r>
          </w:p>
        </w:tc>
        <w:tc>
          <w:tcPr>
            <w:tcW w:w="3685" w:type="dxa"/>
            <w:tcBorders>
              <w:top w:val="single" w:sz="4" w:space="0" w:color="auto"/>
              <w:left w:val="single" w:sz="4" w:space="0" w:color="auto"/>
              <w:bottom w:val="single" w:sz="18" w:space="0" w:color="auto"/>
              <w:right w:val="single" w:sz="4" w:space="0" w:color="auto"/>
            </w:tcBorders>
            <w:shd w:val="clear" w:color="auto" w:fill="auto"/>
            <w:vAlign w:val="center"/>
          </w:tcPr>
          <w:p w14:paraId="235EE88E" w14:textId="77777777" w:rsidR="00CF1029" w:rsidRDefault="00823AFE">
            <w:pPr>
              <w:pStyle w:val="Tabellcell"/>
              <w:jc w:val="right"/>
            </w:pPr>
            <w:r>
              <w:rPr>
                <w:b/>
              </w:rPr>
              <w:t>2023-02-08</w:t>
            </w:r>
          </w:p>
        </w:tc>
      </w:tr>
    </w:tbl>
    <w:p w14:paraId="71EE1D8A" w14:textId="77777777" w:rsidR="00CF1029" w:rsidRDefault="00823AFE">
      <w:pPr>
        <w:pStyle w:val="Rubrik2"/>
      </w:pPr>
      <w:bookmarkStart w:id="23" w:name="_Toc132262499"/>
      <w:r>
        <w:t>Uppföljning av kassaflöde, lån och realisationsresultat</w:t>
      </w:r>
      <w:bookmarkEnd w:id="23"/>
    </w:p>
    <w:p w14:paraId="56F0341D" w14:textId="77777777" w:rsidR="00CF1029" w:rsidRDefault="00823AFE">
      <w:pPr>
        <w:pStyle w:val="Tabellrubrik"/>
      </w:pPr>
      <w:r>
        <w:t>Uppföljning kassaflöde, lån samt realisationsresultat</w:t>
      </w:r>
    </w:p>
    <w:tbl>
      <w:tblPr>
        <w:tblStyle w:val="Tabellrutnt"/>
        <w:tblOverlap w:val="never"/>
        <w:tblW w:w="0" w:type="auto"/>
        <w:tblLook w:val="04A0" w:firstRow="1" w:lastRow="0" w:firstColumn="1" w:lastColumn="0" w:noHBand="0" w:noVBand="1"/>
      </w:tblPr>
      <w:tblGrid>
        <w:gridCol w:w="2274"/>
        <w:gridCol w:w="1733"/>
        <w:gridCol w:w="1299"/>
        <w:gridCol w:w="2054"/>
      </w:tblGrid>
      <w:tr w:rsidR="00CF1029" w14:paraId="0BA91AA6"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580C1579" w14:textId="77777777" w:rsidR="00CF1029" w:rsidRDefault="00823AFE">
            <w:pPr>
              <w:pStyle w:val="Tabellcell"/>
            </w:pPr>
            <w:r>
              <w:rPr>
                <w:b/>
              </w:rPr>
              <w:t>Lån i mnkr</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62A0B419" w14:textId="77777777" w:rsidR="00CF1029" w:rsidRDefault="00823AFE">
            <w:pPr>
              <w:pStyle w:val="Tabellcell"/>
              <w:jc w:val="right"/>
            </w:pPr>
            <w:r>
              <w:rPr>
                <w:b/>
              </w:rPr>
              <w:t>Volym 31 mars</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A2A0790" w14:textId="77777777" w:rsidR="00CF1029" w:rsidRDefault="00823AFE">
            <w:pPr>
              <w:pStyle w:val="Tabellcell"/>
              <w:jc w:val="right"/>
            </w:pPr>
            <w:r>
              <w:rPr>
                <w:b/>
              </w:rPr>
              <w:t>Prognos 31 dec 2023</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970E90B" w14:textId="77777777" w:rsidR="00CF1029" w:rsidRDefault="00823AFE">
            <w:pPr>
              <w:pStyle w:val="Tabellcell"/>
              <w:jc w:val="right"/>
            </w:pPr>
            <w:r>
              <w:rPr>
                <w:b/>
              </w:rPr>
              <w:t>Volym 31 dec 2022</w:t>
            </w:r>
          </w:p>
        </w:tc>
      </w:tr>
      <w:tr w:rsidR="00CF1029" w14:paraId="3769F59C"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71700900" w14:textId="77777777" w:rsidR="00CF1029" w:rsidRDefault="00823AFE">
            <w:pPr>
              <w:pStyle w:val="Tabellcell"/>
            </w:pPr>
            <w:r>
              <w:t>Summa</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721635C4" w14:textId="77777777" w:rsidR="00CF1029" w:rsidRDefault="00823AFE">
            <w:pPr>
              <w:pStyle w:val="Tabellcell"/>
              <w:jc w:val="right"/>
            </w:pPr>
            <w:r>
              <w:t>0</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59198847" w14:textId="77777777" w:rsidR="00CF1029" w:rsidRDefault="00823AFE">
            <w:pPr>
              <w:pStyle w:val="Tabellcell"/>
              <w:jc w:val="right"/>
            </w:pPr>
            <w:r>
              <w:t>0</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438DF12C" w14:textId="77777777" w:rsidR="00CF1029" w:rsidRDefault="00823AFE">
            <w:pPr>
              <w:pStyle w:val="Tabellcell"/>
              <w:jc w:val="right"/>
            </w:pPr>
            <w:r>
              <w:t>0</w:t>
            </w:r>
          </w:p>
        </w:tc>
      </w:tr>
      <w:tr w:rsidR="00CF1029" w14:paraId="5B7480A2"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E5E5E5"/>
            <w:vAlign w:val="center"/>
          </w:tcPr>
          <w:p w14:paraId="7700263A" w14:textId="77777777" w:rsidR="00CF1029" w:rsidRDefault="00823AFE">
            <w:pPr>
              <w:pStyle w:val="Tabellcell"/>
            </w:pPr>
            <w:r>
              <w:rPr>
                <w:b/>
              </w:rPr>
              <w:t>Kassaflöde</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5BC786FD"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E5E5E5"/>
            <w:vAlign w:val="center"/>
          </w:tcPr>
          <w:p w14:paraId="109284EF" w14:textId="77777777" w:rsidR="00CF1029" w:rsidRDefault="00823AFE">
            <w:pPr>
              <w:pStyle w:val="Tabellcell"/>
              <w:jc w:val="right"/>
            </w:pPr>
            <w:r>
              <w:rPr>
                <w:b/>
              </w:rPr>
              <w:t>Prognos helår 2023</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60028350" w14:textId="77777777" w:rsidR="00CF1029" w:rsidRDefault="00CF1029">
            <w:pPr>
              <w:pStyle w:val="Tabellcell"/>
            </w:pPr>
          </w:p>
        </w:tc>
      </w:tr>
      <w:tr w:rsidR="00CF1029" w14:paraId="16BAAE79"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F77A843" w14:textId="77777777" w:rsidR="00CF1029" w:rsidRDefault="00823AFE">
            <w:pPr>
              <w:pStyle w:val="Tabellcell"/>
            </w:pPr>
            <w:r>
              <w:t>Löpande verksamhet</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4C7ECAE9"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73B2BCE" w14:textId="77777777" w:rsidR="00CF1029" w:rsidRDefault="00823AFE">
            <w:pPr>
              <w:pStyle w:val="Tabellcell"/>
              <w:jc w:val="right"/>
            </w:pPr>
            <w:r>
              <w:t>10,0</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740C4B89" w14:textId="77777777" w:rsidR="00CF1029" w:rsidRDefault="00CF1029">
            <w:pPr>
              <w:pStyle w:val="Tabellcell"/>
            </w:pPr>
          </w:p>
        </w:tc>
      </w:tr>
      <w:tr w:rsidR="00CF1029" w14:paraId="0E038F1F"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2C41A6C" w14:textId="77777777" w:rsidR="00CF1029" w:rsidRDefault="00823AFE">
            <w:pPr>
              <w:pStyle w:val="Tabellcell"/>
            </w:pPr>
            <w:r>
              <w:t>Investeringsverksamhet</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08365922"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8063429" w14:textId="77777777" w:rsidR="00CF1029" w:rsidRDefault="00823AFE">
            <w:pPr>
              <w:pStyle w:val="Tabellcell"/>
              <w:jc w:val="right"/>
            </w:pPr>
            <w:r>
              <w:t>-56,0</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110BD553" w14:textId="77777777" w:rsidR="00CF1029" w:rsidRDefault="00CF1029">
            <w:pPr>
              <w:pStyle w:val="Tabellcell"/>
            </w:pPr>
          </w:p>
        </w:tc>
      </w:tr>
      <w:tr w:rsidR="00CF1029" w14:paraId="0A5E90F6"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996540E" w14:textId="77777777" w:rsidR="00CF1029" w:rsidRDefault="00823AFE">
            <w:pPr>
              <w:pStyle w:val="Tabellcell"/>
            </w:pPr>
            <w:r>
              <w:t>Finansieringsverksamhet</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572374FA"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64B7723" w14:textId="77777777" w:rsidR="00CF1029" w:rsidRDefault="00823AFE">
            <w:pPr>
              <w:pStyle w:val="Tabellcell"/>
              <w:jc w:val="right"/>
            </w:pPr>
            <w:r>
              <w:t>0</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182624CD" w14:textId="77777777" w:rsidR="00CF1029" w:rsidRDefault="00CF1029">
            <w:pPr>
              <w:pStyle w:val="Tabellcell"/>
            </w:pPr>
          </w:p>
        </w:tc>
      </w:tr>
      <w:tr w:rsidR="00CF1029" w14:paraId="39A630BB"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8EBE197" w14:textId="77777777" w:rsidR="00CF1029" w:rsidRDefault="00823AFE">
            <w:pPr>
              <w:pStyle w:val="Tabellcell"/>
            </w:pPr>
            <w:r>
              <w:t>Summa</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3C3A4ED9"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3EFB160" w14:textId="77777777" w:rsidR="00CF1029" w:rsidRDefault="00823AFE">
            <w:pPr>
              <w:pStyle w:val="Tabellcell"/>
              <w:jc w:val="right"/>
            </w:pPr>
            <w:r>
              <w:t>-46,0</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3D7481D9" w14:textId="77777777" w:rsidR="00CF1029" w:rsidRDefault="00CF1029">
            <w:pPr>
              <w:pStyle w:val="Tabellcell"/>
            </w:pPr>
          </w:p>
        </w:tc>
      </w:tr>
      <w:tr w:rsidR="00CF1029" w14:paraId="40A95AE6"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E5E5E5"/>
            <w:vAlign w:val="center"/>
          </w:tcPr>
          <w:p w14:paraId="37A85A0A" w14:textId="77777777" w:rsidR="00CF1029" w:rsidRDefault="00823AFE">
            <w:pPr>
              <w:pStyle w:val="Tabellcell"/>
            </w:pPr>
            <w:r>
              <w:rPr>
                <w:b/>
              </w:rPr>
              <w:t>Specifikation rearesultat avyttring fastighet/bolag</w:t>
            </w:r>
          </w:p>
        </w:tc>
        <w:tc>
          <w:tcPr>
            <w:tcW w:w="1842" w:type="dxa"/>
            <w:tcBorders>
              <w:top w:val="single" w:sz="4" w:space="0" w:color="auto"/>
              <w:left w:val="single" w:sz="4" w:space="0" w:color="auto"/>
              <w:bottom w:val="single" w:sz="4" w:space="0" w:color="auto"/>
              <w:right w:val="single" w:sz="4" w:space="0" w:color="auto"/>
            </w:tcBorders>
            <w:shd w:val="clear" w:color="auto" w:fill="E5E5E5"/>
            <w:vAlign w:val="center"/>
          </w:tcPr>
          <w:p w14:paraId="5092FEE2" w14:textId="77777777" w:rsidR="00CF1029" w:rsidRDefault="00823AFE">
            <w:pPr>
              <w:pStyle w:val="Tabellcell"/>
              <w:jc w:val="right"/>
            </w:pPr>
            <w:r>
              <w:rPr>
                <w:b/>
              </w:rPr>
              <w:t>Objekt (fastighet/bolag)</w:t>
            </w:r>
          </w:p>
        </w:tc>
        <w:tc>
          <w:tcPr>
            <w:tcW w:w="1842" w:type="dxa"/>
            <w:tcBorders>
              <w:top w:val="single" w:sz="4" w:space="0" w:color="auto"/>
              <w:left w:val="single" w:sz="4" w:space="0" w:color="auto"/>
              <w:bottom w:val="single" w:sz="4" w:space="0" w:color="auto"/>
              <w:right w:val="single" w:sz="4" w:space="0" w:color="auto"/>
            </w:tcBorders>
            <w:shd w:val="clear" w:color="auto" w:fill="E5E5E5"/>
            <w:vAlign w:val="center"/>
          </w:tcPr>
          <w:p w14:paraId="3249085B" w14:textId="77777777" w:rsidR="00CF1029" w:rsidRDefault="00823AFE">
            <w:pPr>
              <w:pStyle w:val="Tabellcell"/>
              <w:jc w:val="right"/>
            </w:pPr>
            <w:r>
              <w:rPr>
                <w:b/>
              </w:rPr>
              <w:t>Utfall period</w:t>
            </w:r>
          </w:p>
        </w:tc>
        <w:tc>
          <w:tcPr>
            <w:tcW w:w="1842" w:type="dxa"/>
            <w:tcBorders>
              <w:top w:val="single" w:sz="4" w:space="0" w:color="auto"/>
              <w:left w:val="single" w:sz="4" w:space="0" w:color="auto"/>
              <w:bottom w:val="single" w:sz="4" w:space="0" w:color="auto"/>
              <w:right w:val="single" w:sz="4" w:space="0" w:color="auto"/>
            </w:tcBorders>
            <w:shd w:val="clear" w:color="auto" w:fill="E5E5E5"/>
            <w:vAlign w:val="center"/>
          </w:tcPr>
          <w:p w14:paraId="36D2663F" w14:textId="77777777" w:rsidR="00CF1029" w:rsidRDefault="00823AFE">
            <w:pPr>
              <w:pStyle w:val="Tabellcell"/>
              <w:jc w:val="right"/>
            </w:pPr>
            <w:r>
              <w:rPr>
                <w:b/>
              </w:rPr>
              <w:t>Motpart (externt/kommun/ Stadshuskoncernen)</w:t>
            </w:r>
          </w:p>
        </w:tc>
      </w:tr>
      <w:tr w:rsidR="00CF1029" w14:paraId="5350255B"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11057E"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0C87BD"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C05D1E" w14:textId="77777777" w:rsidR="00CF1029" w:rsidRDefault="00CF1029">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C0FA54" w14:textId="77777777" w:rsidR="00CF1029" w:rsidRDefault="00CF1029">
            <w:pPr>
              <w:pStyle w:val="Tabellcell"/>
            </w:pPr>
          </w:p>
        </w:tc>
      </w:tr>
    </w:tbl>
    <w:p w14:paraId="44B600C8" w14:textId="77777777" w:rsidR="00CF1029" w:rsidRDefault="00823AFE">
      <w:pPr>
        <w:pStyle w:val="Rubrik1-Sidbryt"/>
      </w:pPr>
      <w:bookmarkStart w:id="24" w:name="_Toc132262500"/>
      <w:r>
        <w:lastRenderedPageBreak/>
        <w:t>Styrinformation till styrelsen</w:t>
      </w:r>
      <w:bookmarkEnd w:id="24"/>
    </w:p>
    <w:sectPr w:rsidR="00CF1029">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162D" w14:textId="77777777" w:rsidR="00301074" w:rsidRDefault="00301074" w:rsidP="00FD14E4">
      <w:pPr>
        <w:spacing w:after="0" w:line="240" w:lineRule="auto"/>
      </w:pPr>
      <w:r>
        <w:separator/>
      </w:r>
    </w:p>
  </w:endnote>
  <w:endnote w:type="continuationSeparator" w:id="0">
    <w:p w14:paraId="45D942FA" w14:textId="77777777" w:rsidR="00301074" w:rsidRDefault="00301074"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0228" w14:textId="77777777" w:rsidR="00E63538" w:rsidRDefault="000000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157707" w:rsidRPr="00C6776C" w14:paraId="2C90EDB0" w14:textId="77777777" w:rsidTr="00D61EFC">
      <w:sdt>
        <w:sdtPr>
          <w:rPr>
            <w:rFonts w:ascii="Arial" w:hAnsi="Arial" w:cs="Arial"/>
            <w:sz w:val="18"/>
            <w:szCs w:val="18"/>
          </w:rPr>
          <w:alias w:val="Titel"/>
          <w:tag w:val=""/>
          <w:id w:val="720481587"/>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20780370" w14:textId="77777777" w:rsidR="00157707" w:rsidRPr="00C6776C" w:rsidRDefault="00823AFE" w:rsidP="00157707">
              <w:pPr>
                <w:pStyle w:val="Sidfot"/>
                <w:rPr>
                  <w:rFonts w:ascii="Arial" w:hAnsi="Arial" w:cs="Arial"/>
                  <w:sz w:val="18"/>
                  <w:szCs w:val="18"/>
                </w:rPr>
              </w:pPr>
              <w:r w:rsidRPr="00C6776C">
                <w:rPr>
                  <w:rFonts w:ascii="Arial" w:hAnsi="Arial" w:cs="Arial"/>
                  <w:sz w:val="18"/>
                  <w:szCs w:val="18"/>
                </w:rPr>
                <w:t>Delårsrapport mars 2023 Bolag</w:t>
              </w:r>
            </w:p>
          </w:tc>
        </w:sdtContent>
      </w:sdt>
      <w:tc>
        <w:tcPr>
          <w:tcW w:w="1966" w:type="dxa"/>
        </w:tcPr>
        <w:p w14:paraId="3728A00D" w14:textId="77777777" w:rsidR="00157707" w:rsidRPr="00C6776C" w:rsidRDefault="00823AFE" w:rsidP="00157707">
          <w:pPr>
            <w:pStyle w:val="Sidfot"/>
            <w:jc w:val="right"/>
            <w:rPr>
              <w:rFonts w:ascii="Arial" w:hAnsi="Arial" w:cs="Arial"/>
              <w:sz w:val="18"/>
              <w:szCs w:val="18"/>
            </w:rPr>
          </w:pPr>
          <w:r w:rsidRPr="00C6776C">
            <w:rPr>
              <w:rFonts w:ascii="Arial" w:hAnsi="Arial" w:cs="Arial"/>
              <w:sz w:val="18"/>
              <w:szCs w:val="18"/>
            </w:rPr>
            <w:fldChar w:fldCharType="begin"/>
          </w:r>
          <w:r w:rsidRPr="00C6776C">
            <w:rPr>
              <w:rFonts w:ascii="Arial" w:hAnsi="Arial" w:cs="Arial"/>
              <w:sz w:val="18"/>
              <w:szCs w:val="18"/>
            </w:rPr>
            <w:instrText xml:space="preserve"> PAGE   \* MERGEFORMAT </w:instrText>
          </w:r>
          <w:r w:rsidRPr="00C6776C">
            <w:rPr>
              <w:rFonts w:ascii="Arial" w:hAnsi="Arial" w:cs="Arial"/>
              <w:sz w:val="18"/>
              <w:szCs w:val="18"/>
            </w:rPr>
            <w:fldChar w:fldCharType="separate"/>
          </w:r>
          <w:r w:rsidRPr="00C6776C">
            <w:rPr>
              <w:rFonts w:ascii="Arial" w:hAnsi="Arial" w:cs="Arial"/>
              <w:noProof/>
              <w:sz w:val="18"/>
              <w:szCs w:val="18"/>
            </w:rPr>
            <w:t>2</w:t>
          </w:r>
          <w:r w:rsidRPr="00C6776C">
            <w:rPr>
              <w:rFonts w:ascii="Arial" w:hAnsi="Arial" w:cs="Arial"/>
              <w:sz w:val="18"/>
              <w:szCs w:val="18"/>
            </w:rPr>
            <w:fldChar w:fldCharType="end"/>
          </w:r>
          <w:r w:rsidRPr="00C6776C">
            <w:rPr>
              <w:rFonts w:ascii="Arial" w:hAnsi="Arial" w:cs="Arial"/>
              <w:sz w:val="18"/>
              <w:szCs w:val="18"/>
            </w:rPr>
            <w:t xml:space="preserve"> (</w:t>
          </w:r>
          <w:r w:rsidRPr="00C6776C">
            <w:rPr>
              <w:rFonts w:ascii="Arial" w:hAnsi="Arial" w:cs="Arial"/>
              <w:noProof/>
              <w:sz w:val="18"/>
              <w:szCs w:val="18"/>
            </w:rPr>
            <w:fldChar w:fldCharType="begin"/>
          </w:r>
          <w:r w:rsidRPr="00C6776C">
            <w:rPr>
              <w:rFonts w:ascii="Arial" w:hAnsi="Arial" w:cs="Arial"/>
              <w:noProof/>
              <w:sz w:val="18"/>
              <w:szCs w:val="18"/>
            </w:rPr>
            <w:instrText xml:space="preserve"> NUMPAGES   \* MERGEFORMAT </w:instrText>
          </w:r>
          <w:r w:rsidRPr="00C6776C">
            <w:rPr>
              <w:rFonts w:ascii="Arial" w:hAnsi="Arial" w:cs="Arial"/>
              <w:noProof/>
              <w:sz w:val="18"/>
              <w:szCs w:val="18"/>
            </w:rPr>
            <w:fldChar w:fldCharType="separate"/>
          </w:r>
          <w:r w:rsidRPr="00C6776C">
            <w:rPr>
              <w:rFonts w:ascii="Arial" w:hAnsi="Arial" w:cs="Arial"/>
              <w:noProof/>
              <w:sz w:val="18"/>
              <w:szCs w:val="18"/>
            </w:rPr>
            <w:t>2</w:t>
          </w:r>
          <w:r w:rsidRPr="00C6776C">
            <w:rPr>
              <w:rFonts w:ascii="Arial" w:hAnsi="Arial" w:cs="Arial"/>
              <w:noProof/>
              <w:sz w:val="18"/>
              <w:szCs w:val="18"/>
            </w:rPr>
            <w:fldChar w:fldCharType="end"/>
          </w:r>
          <w:r w:rsidRPr="00C6776C">
            <w:rPr>
              <w:rFonts w:ascii="Arial" w:hAnsi="Arial" w:cs="Arial"/>
              <w:sz w:val="18"/>
              <w:szCs w:val="18"/>
            </w:rPr>
            <w:t>)</w:t>
          </w:r>
        </w:p>
      </w:tc>
    </w:tr>
    <w:tr w:rsidR="00157707" w:rsidRPr="00C6776C" w14:paraId="59FB0D74" w14:textId="77777777" w:rsidTr="00D61EFC">
      <w:tc>
        <w:tcPr>
          <w:tcW w:w="7106" w:type="dxa"/>
        </w:tcPr>
        <w:sdt>
          <w:sdtPr>
            <w:rPr>
              <w:rFonts w:ascii="Arial" w:hAnsi="Arial" w:cs="Arial"/>
              <w:sz w:val="18"/>
              <w:szCs w:val="18"/>
            </w:r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Content>
            <w:p w14:paraId="4EFB400B" w14:textId="77777777" w:rsidR="00157707" w:rsidRPr="00C6776C" w:rsidRDefault="00823AFE" w:rsidP="00157707">
              <w:pPr>
                <w:pStyle w:val="Sidfot"/>
                <w:rPr>
                  <w:rFonts w:ascii="Arial" w:hAnsi="Arial" w:cs="Arial"/>
                  <w:sz w:val="18"/>
                  <w:szCs w:val="18"/>
                </w:rPr>
              </w:pPr>
              <w:r>
                <w:rPr>
                  <w:rFonts w:ascii="Arial" w:hAnsi="Arial" w:cs="Arial"/>
                  <w:sz w:val="18"/>
                  <w:szCs w:val="18"/>
                </w:rPr>
                <w:t xml:space="preserve">     </w:t>
              </w:r>
            </w:p>
          </w:sdtContent>
        </w:sdt>
      </w:tc>
      <w:tc>
        <w:tcPr>
          <w:tcW w:w="1966" w:type="dxa"/>
        </w:tcPr>
        <w:p w14:paraId="17D4CE4D" w14:textId="77777777" w:rsidR="00157707" w:rsidRPr="00C6776C" w:rsidRDefault="00000000" w:rsidP="00157707">
          <w:pPr>
            <w:pStyle w:val="Sidfot"/>
            <w:rPr>
              <w:rFonts w:ascii="Arial" w:hAnsi="Arial" w:cs="Arial"/>
              <w:sz w:val="18"/>
              <w:szCs w:val="18"/>
            </w:rPr>
          </w:pPr>
        </w:p>
      </w:tc>
    </w:tr>
    <w:tr w:rsidR="00157707" w:rsidRPr="00C6776C" w14:paraId="233664A1" w14:textId="77777777" w:rsidTr="00D61EFC">
      <w:tc>
        <w:tcPr>
          <w:tcW w:w="7106" w:type="dxa"/>
        </w:tcPr>
        <w:p w14:paraId="0F3FFECC" w14:textId="77777777" w:rsidR="00157707" w:rsidRPr="00C6776C" w:rsidRDefault="00000000" w:rsidP="00157707">
          <w:pPr>
            <w:pStyle w:val="Sidfot"/>
            <w:rPr>
              <w:rFonts w:ascii="Arial" w:hAnsi="Arial" w:cs="Arial"/>
              <w:sz w:val="18"/>
              <w:szCs w:val="18"/>
            </w:rPr>
          </w:pPr>
        </w:p>
      </w:tc>
      <w:tc>
        <w:tcPr>
          <w:tcW w:w="1966" w:type="dxa"/>
        </w:tcPr>
        <w:p w14:paraId="251EA1EA" w14:textId="77777777" w:rsidR="00157707" w:rsidRPr="00C6776C" w:rsidRDefault="00000000" w:rsidP="00157707">
          <w:pPr>
            <w:pStyle w:val="Sidfot"/>
            <w:jc w:val="right"/>
            <w:rPr>
              <w:rFonts w:ascii="Arial" w:hAnsi="Arial" w:cs="Arial"/>
              <w:sz w:val="18"/>
              <w:szCs w:val="18"/>
            </w:rPr>
          </w:pPr>
          <w:sdt>
            <w:sdtPr>
              <w:rPr>
                <w:rFonts w:ascii="Arial" w:hAnsi="Arial" w:cs="Arial"/>
                <w:sz w:val="18"/>
                <w:szCs w:val="18"/>
              </w:r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r w:rsidR="00823AFE" w:rsidRPr="00C6776C">
                <w:rPr>
                  <w:rFonts w:ascii="Arial" w:hAnsi="Arial" w:cs="Arial"/>
                  <w:sz w:val="18"/>
                  <w:szCs w:val="18"/>
                </w:rPr>
                <w:t xml:space="preserve">     </w:t>
              </w:r>
            </w:sdtContent>
          </w:sdt>
        </w:p>
      </w:tc>
    </w:tr>
  </w:tbl>
  <w:p w14:paraId="78BF2710" w14:textId="77777777" w:rsidR="00394C10" w:rsidRDefault="0000000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0BB4" w14:textId="77777777" w:rsidR="00E63538" w:rsidRDefault="00000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7DA2" w14:textId="77777777" w:rsidR="00301074" w:rsidRDefault="00301074" w:rsidP="00FD14E4">
      <w:pPr>
        <w:spacing w:after="0" w:line="240" w:lineRule="auto"/>
      </w:pPr>
      <w:r>
        <w:separator/>
      </w:r>
    </w:p>
  </w:footnote>
  <w:footnote w:type="continuationSeparator" w:id="0">
    <w:p w14:paraId="65E54898" w14:textId="77777777" w:rsidR="00301074" w:rsidRDefault="00301074"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0EF" w14:textId="77777777" w:rsidR="00E63538" w:rsidRDefault="000000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6271" w14:textId="77777777" w:rsidR="00E63538" w:rsidRDefault="000000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5245" w14:textId="77777777" w:rsidR="00394C10" w:rsidRPr="00394C10" w:rsidRDefault="00000000" w:rsidP="00457B16">
    <w:pPr>
      <w:pStyle w:val="Sidhuvud"/>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6E6413"/>
    <w:multiLevelType w:val="hybridMultilevel"/>
    <w:tmpl w:val="052CC0E8"/>
    <w:lvl w:ilvl="0" w:tplc="1D243BC6">
      <w:start w:val="1"/>
      <w:numFmt w:val="decimal"/>
      <w:lvlText w:val="%1."/>
      <w:lvlJc w:val="left"/>
      <w:pPr>
        <w:ind w:left="720" w:hanging="360"/>
      </w:pPr>
    </w:lvl>
    <w:lvl w:ilvl="1" w:tplc="6374CDF4">
      <w:numFmt w:val="decimal"/>
      <w:lvlText w:val=""/>
      <w:lvlJc w:val="left"/>
    </w:lvl>
    <w:lvl w:ilvl="2" w:tplc="B70A8FD6">
      <w:numFmt w:val="decimal"/>
      <w:lvlText w:val=""/>
      <w:lvlJc w:val="left"/>
    </w:lvl>
    <w:lvl w:ilvl="3" w:tplc="AFD4DFD4">
      <w:numFmt w:val="decimal"/>
      <w:lvlText w:val=""/>
      <w:lvlJc w:val="left"/>
    </w:lvl>
    <w:lvl w:ilvl="4" w:tplc="6EF2D108">
      <w:numFmt w:val="decimal"/>
      <w:lvlText w:val=""/>
      <w:lvlJc w:val="left"/>
    </w:lvl>
    <w:lvl w:ilvl="5" w:tplc="AAE0ECBA">
      <w:numFmt w:val="decimal"/>
      <w:lvlText w:val=""/>
      <w:lvlJc w:val="left"/>
    </w:lvl>
    <w:lvl w:ilvl="6" w:tplc="4620A552">
      <w:numFmt w:val="decimal"/>
      <w:lvlText w:val=""/>
      <w:lvlJc w:val="left"/>
    </w:lvl>
    <w:lvl w:ilvl="7" w:tplc="C4F8D8BE">
      <w:numFmt w:val="decimal"/>
      <w:lvlText w:val=""/>
      <w:lvlJc w:val="left"/>
    </w:lvl>
    <w:lvl w:ilvl="8" w:tplc="76761EA8">
      <w:numFmt w:val="decimal"/>
      <w:lvlText w:val=""/>
      <w:lvlJc w:val="left"/>
    </w:lvl>
  </w:abstractNum>
  <w:abstractNum w:abstractNumId="3" w15:restartNumberingAfterBreak="0">
    <w:nsid w:val="6B252E1A"/>
    <w:multiLevelType w:val="hybridMultilevel"/>
    <w:tmpl w:val="C3ECDADA"/>
    <w:lvl w:ilvl="0" w:tplc="952E74FA">
      <w:start w:val="1"/>
      <w:numFmt w:val="decimal"/>
      <w:lvlText w:val="%1."/>
      <w:lvlJc w:val="left"/>
      <w:pPr>
        <w:ind w:left="720" w:hanging="360"/>
      </w:pPr>
    </w:lvl>
    <w:lvl w:ilvl="1" w:tplc="2988A3C4">
      <w:numFmt w:val="decimal"/>
      <w:lvlText w:val=""/>
      <w:lvlJc w:val="left"/>
    </w:lvl>
    <w:lvl w:ilvl="2" w:tplc="21E80F38">
      <w:numFmt w:val="decimal"/>
      <w:lvlText w:val=""/>
      <w:lvlJc w:val="left"/>
    </w:lvl>
    <w:lvl w:ilvl="3" w:tplc="44C0F196">
      <w:numFmt w:val="decimal"/>
      <w:lvlText w:val=""/>
      <w:lvlJc w:val="left"/>
    </w:lvl>
    <w:lvl w:ilvl="4" w:tplc="D2489678">
      <w:numFmt w:val="decimal"/>
      <w:lvlText w:val=""/>
      <w:lvlJc w:val="left"/>
    </w:lvl>
    <w:lvl w:ilvl="5" w:tplc="E0106A6A">
      <w:numFmt w:val="decimal"/>
      <w:lvlText w:val=""/>
      <w:lvlJc w:val="left"/>
    </w:lvl>
    <w:lvl w:ilvl="6" w:tplc="F02661A2">
      <w:numFmt w:val="decimal"/>
      <w:lvlText w:val=""/>
      <w:lvlJc w:val="left"/>
    </w:lvl>
    <w:lvl w:ilvl="7" w:tplc="1C44E3FE">
      <w:numFmt w:val="decimal"/>
      <w:lvlText w:val=""/>
      <w:lvlJc w:val="left"/>
    </w:lvl>
    <w:lvl w:ilvl="8" w:tplc="4C2C8F14">
      <w:numFmt w:val="decimal"/>
      <w:lvlText w:val=""/>
      <w:lvlJc w:val="left"/>
    </w:lvl>
  </w:abstractNum>
  <w:abstractNum w:abstractNumId="4"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1315600137">
    <w:abstractNumId w:val="4"/>
  </w:num>
  <w:num w:numId="2" w16cid:durableId="1631282935">
    <w:abstractNumId w:val="4"/>
  </w:num>
  <w:num w:numId="3" w16cid:durableId="252205407">
    <w:abstractNumId w:val="4"/>
  </w:num>
  <w:num w:numId="4" w16cid:durableId="105928075">
    <w:abstractNumId w:val="4"/>
  </w:num>
  <w:num w:numId="5" w16cid:durableId="1130317823">
    <w:abstractNumId w:val="4"/>
  </w:num>
  <w:num w:numId="6" w16cid:durableId="1660423531">
    <w:abstractNumId w:val="4"/>
  </w:num>
  <w:num w:numId="7" w16cid:durableId="1943762648">
    <w:abstractNumId w:val="4"/>
  </w:num>
  <w:num w:numId="8" w16cid:durableId="2115710279">
    <w:abstractNumId w:val="4"/>
  </w:num>
  <w:num w:numId="9" w16cid:durableId="1103457141">
    <w:abstractNumId w:val="4"/>
  </w:num>
  <w:num w:numId="10" w16cid:durableId="1787654168">
    <w:abstractNumId w:val="4"/>
  </w:num>
  <w:num w:numId="11" w16cid:durableId="1220091167">
    <w:abstractNumId w:val="4"/>
  </w:num>
  <w:num w:numId="12" w16cid:durableId="1591040383">
    <w:abstractNumId w:val="4"/>
  </w:num>
  <w:num w:numId="13" w16cid:durableId="1236669130">
    <w:abstractNumId w:val="4"/>
  </w:num>
  <w:num w:numId="14" w16cid:durableId="610745556">
    <w:abstractNumId w:val="4"/>
  </w:num>
  <w:num w:numId="15" w16cid:durableId="1334644104">
    <w:abstractNumId w:val="4"/>
  </w:num>
  <w:num w:numId="16" w16cid:durableId="1375929893">
    <w:abstractNumId w:val="4"/>
  </w:num>
  <w:num w:numId="17" w16cid:durableId="253982298">
    <w:abstractNumId w:val="4"/>
  </w:num>
  <w:num w:numId="18" w16cid:durableId="842235117">
    <w:abstractNumId w:val="4"/>
  </w:num>
  <w:num w:numId="19" w16cid:durableId="736710729">
    <w:abstractNumId w:val="1"/>
  </w:num>
  <w:num w:numId="20" w16cid:durableId="1461878129">
    <w:abstractNumId w:val="0"/>
  </w:num>
  <w:num w:numId="21" w16cid:durableId="1057515673">
    <w:abstractNumId w:val="2"/>
  </w:num>
  <w:num w:numId="22" w16cid:durableId="27290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A012C"/>
    <w:rsid w:val="002B32D9"/>
    <w:rsid w:val="00301074"/>
    <w:rsid w:val="00305336"/>
    <w:rsid w:val="0031706A"/>
    <w:rsid w:val="00326D90"/>
    <w:rsid w:val="0033640E"/>
    <w:rsid w:val="00342AB7"/>
    <w:rsid w:val="003A40E9"/>
    <w:rsid w:val="003B4ABF"/>
    <w:rsid w:val="003D0963"/>
    <w:rsid w:val="003D6758"/>
    <w:rsid w:val="00405E3D"/>
    <w:rsid w:val="00416ADD"/>
    <w:rsid w:val="004850B1"/>
    <w:rsid w:val="004A08E3"/>
    <w:rsid w:val="00503904"/>
    <w:rsid w:val="00514099"/>
    <w:rsid w:val="0057086E"/>
    <w:rsid w:val="005A4EDC"/>
    <w:rsid w:val="005E7669"/>
    <w:rsid w:val="00623030"/>
    <w:rsid w:val="00656BC9"/>
    <w:rsid w:val="006B74B7"/>
    <w:rsid w:val="00751C70"/>
    <w:rsid w:val="007A46F9"/>
    <w:rsid w:val="007A6F6A"/>
    <w:rsid w:val="007C438A"/>
    <w:rsid w:val="007D03BE"/>
    <w:rsid w:val="007F0C07"/>
    <w:rsid w:val="00803EA2"/>
    <w:rsid w:val="00823AFE"/>
    <w:rsid w:val="008277D0"/>
    <w:rsid w:val="008A28D0"/>
    <w:rsid w:val="008E1B36"/>
    <w:rsid w:val="00932BB2"/>
    <w:rsid w:val="00962D10"/>
    <w:rsid w:val="00970054"/>
    <w:rsid w:val="009D0096"/>
    <w:rsid w:val="00A06539"/>
    <w:rsid w:val="00A24B46"/>
    <w:rsid w:val="00A33522"/>
    <w:rsid w:val="00A86C9B"/>
    <w:rsid w:val="00AA216E"/>
    <w:rsid w:val="00AB0EC1"/>
    <w:rsid w:val="00AC071C"/>
    <w:rsid w:val="00AD0A0D"/>
    <w:rsid w:val="00AF5336"/>
    <w:rsid w:val="00B161D4"/>
    <w:rsid w:val="00B50452"/>
    <w:rsid w:val="00B7025F"/>
    <w:rsid w:val="00BE272B"/>
    <w:rsid w:val="00C23D5C"/>
    <w:rsid w:val="00C91C90"/>
    <w:rsid w:val="00CA18E8"/>
    <w:rsid w:val="00CA1E51"/>
    <w:rsid w:val="00CB095A"/>
    <w:rsid w:val="00CB0C4B"/>
    <w:rsid w:val="00CB7232"/>
    <w:rsid w:val="00CF1029"/>
    <w:rsid w:val="00D33F10"/>
    <w:rsid w:val="00D81E48"/>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90980"/>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ind w:left="57"/>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ind w:left="57"/>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B960-6D7A-4EA5-9451-00033779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4106</Words>
  <Characters>21767</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mars 2023 Bolag</dc:title>
  <dc:subject/>
  <dc:creator>Stratsys</dc:creator>
  <cp:keywords/>
  <dc:description/>
  <cp:lastModifiedBy>Maria Åkerman</cp:lastModifiedBy>
  <cp:revision>3</cp:revision>
  <dcterms:created xsi:type="dcterms:W3CDTF">2023-04-13T05:15:00Z</dcterms:created>
  <dcterms:modified xsi:type="dcterms:W3CDTF">2023-04-13T05:17:00Z</dcterms:modified>
</cp:coreProperties>
</file>