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5839C8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437434">
            <w:pPr>
              <w:pStyle w:val="Dokumentinfo"/>
            </w:pPr>
            <w:r>
              <w:t>Beslutsunderlag</w:t>
            </w:r>
          </w:p>
          <w:p w14:paraId="00BE0336" w14:textId="4309BBEF" w:rsidR="001A2494" w:rsidRPr="005839C8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B15711">
              <w:rPr>
                <w:b w:val="0"/>
              </w:rPr>
              <w:t xml:space="preserve"> </w:t>
            </w:r>
            <w:r w:rsidR="009E6493" w:rsidRPr="005839C8">
              <w:rPr>
                <w:b w:val="0"/>
              </w:rPr>
              <w:t>202</w:t>
            </w:r>
            <w:r w:rsidR="00125F7A" w:rsidRPr="005839C8">
              <w:rPr>
                <w:b w:val="0"/>
              </w:rPr>
              <w:t>3</w:t>
            </w:r>
            <w:r w:rsidR="009E6493" w:rsidRPr="005839C8">
              <w:rPr>
                <w:b w:val="0"/>
              </w:rPr>
              <w:t>-0</w:t>
            </w:r>
            <w:r w:rsidR="005839C8" w:rsidRPr="005839C8">
              <w:rPr>
                <w:b w:val="0"/>
              </w:rPr>
              <w:t>3</w:t>
            </w:r>
            <w:r w:rsidR="009E6493" w:rsidRPr="005839C8">
              <w:rPr>
                <w:b w:val="0"/>
              </w:rPr>
              <w:t>-</w:t>
            </w:r>
            <w:r w:rsidR="00855CEF" w:rsidRPr="005839C8">
              <w:rPr>
                <w:b w:val="0"/>
              </w:rPr>
              <w:t>0</w:t>
            </w:r>
            <w:r w:rsidR="005839C8" w:rsidRPr="005839C8">
              <w:rPr>
                <w:b w:val="0"/>
              </w:rPr>
              <w:t>9</w:t>
            </w:r>
          </w:p>
          <w:p w14:paraId="148DD522" w14:textId="228D8F8B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Ärendenummer </w:t>
            </w:r>
            <w:r w:rsidR="00B01C2C">
              <w:rPr>
                <w:b w:val="0"/>
              </w:rPr>
              <w:t>8.1</w:t>
            </w:r>
          </w:p>
          <w:p w14:paraId="20363AC4" w14:textId="427FC330" w:rsidR="001A2494" w:rsidRPr="000707CC" w:rsidRDefault="00B60C7B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BE16F4">
              <w:t xml:space="preserve"> </w:t>
            </w:r>
            <w:r w:rsidR="005839C8" w:rsidRPr="005839C8">
              <w:rPr>
                <w:b w:val="0"/>
                <w:bCs/>
              </w:rPr>
              <w:t>0210/23</w:t>
            </w:r>
          </w:p>
        </w:tc>
        <w:tc>
          <w:tcPr>
            <w:tcW w:w="6095" w:type="dxa"/>
            <w:shd w:val="clear" w:color="auto" w:fill="auto"/>
          </w:tcPr>
          <w:p w14:paraId="5B794622" w14:textId="092E4601" w:rsidR="001A2494" w:rsidRPr="000707CC" w:rsidRDefault="001A2494" w:rsidP="00437434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 xml:space="preserve">   </w:t>
            </w:r>
            <w:r w:rsidR="005839C8">
              <w:rPr>
                <w:b w:val="0"/>
              </w:rPr>
              <w:t>Linda Rudenwall</w:t>
            </w:r>
          </w:p>
          <w:p w14:paraId="31A87FB6" w14:textId="2BC89F2A" w:rsidR="001A2494" w:rsidRPr="004B0667" w:rsidRDefault="005839C8" w:rsidP="00437434">
            <w:pPr>
              <w:pStyle w:val="Dokumentinfo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E</w:t>
            </w:r>
            <w:r w:rsidR="001A2494" w:rsidRPr="004B0667">
              <w:rPr>
                <w:b w:val="0"/>
                <w:lang w:val="de-DE"/>
              </w:rPr>
              <w:t>-post</w:t>
            </w:r>
            <w:r w:rsidR="001A2494" w:rsidRPr="00B15711">
              <w:rPr>
                <w:b w:val="0"/>
                <w:szCs w:val="22"/>
                <w:lang w:val="de-DE"/>
              </w:rPr>
              <w:t xml:space="preserve">:        </w:t>
            </w:r>
            <w:r w:rsidR="00B01C2C">
              <w:rPr>
                <w:b w:val="0"/>
                <w:szCs w:val="22"/>
                <w:lang w:val="de-DE"/>
              </w:rPr>
              <w:t xml:space="preserve"> </w:t>
            </w:r>
            <w:r w:rsidR="001A2494" w:rsidRPr="00B15711">
              <w:rPr>
                <w:b w:val="0"/>
                <w:szCs w:val="22"/>
                <w:lang w:val="de-DE"/>
              </w:rPr>
              <w:t xml:space="preserve">   </w:t>
            </w:r>
            <w:r>
              <w:rPr>
                <w:b w:val="0"/>
                <w:szCs w:val="22"/>
                <w:lang w:val="de-DE"/>
              </w:rPr>
              <w:t>linda.rudenwall</w:t>
            </w:r>
            <w:r w:rsidR="001A2494" w:rsidRPr="00B15711">
              <w:rPr>
                <w:b w:val="0"/>
                <w:szCs w:val="22"/>
                <w:lang w:val="de-DE"/>
              </w:rPr>
              <w:t>@sparvagen.goteborg.se</w:t>
            </w:r>
            <w:r w:rsidR="001A2494"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06B66A9B" w:rsidR="003D53C8" w:rsidRPr="001A2494" w:rsidRDefault="00CD0F1B" w:rsidP="003D53C8">
      <w:pPr>
        <w:pStyle w:val="Rubrik1"/>
        <w:rPr>
          <w:rFonts w:cstheme="majorHAnsi"/>
        </w:rPr>
      </w:pPr>
      <w:r>
        <w:rPr>
          <w:rFonts w:cstheme="majorHAnsi"/>
        </w:rPr>
        <w:t>Göteborg</w:t>
      </w:r>
      <w:r w:rsidR="005309D9">
        <w:rPr>
          <w:rFonts w:cstheme="majorHAnsi"/>
        </w:rPr>
        <w:t>s</w:t>
      </w:r>
      <w:r>
        <w:rPr>
          <w:rFonts w:cstheme="majorHAnsi"/>
        </w:rPr>
        <w:t xml:space="preserve"> Stads regel för attest</w:t>
      </w:r>
    </w:p>
    <w:p w14:paraId="2276CE61" w14:textId="4CAA1AFF" w:rsidR="003D53C8" w:rsidRPr="001A2494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>Förslag till beslut</w:t>
      </w:r>
      <w:r w:rsidR="006073C2" w:rsidRPr="001A2494">
        <w:rPr>
          <w:rFonts w:cstheme="majorHAnsi"/>
          <w:sz w:val="28"/>
        </w:rPr>
        <w:t xml:space="preserve"> </w:t>
      </w:r>
    </w:p>
    <w:p w14:paraId="245C2FA9" w14:textId="01FDA470" w:rsidR="007C3A06" w:rsidRPr="001A2494" w:rsidRDefault="003D53C8" w:rsidP="003D53C8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5AC70777" w14:textId="254787D5" w:rsidR="001C59CD" w:rsidRPr="001C59CD" w:rsidRDefault="000B151A" w:rsidP="000B151A">
      <w:pPr>
        <w:pStyle w:val="Liststycke"/>
        <w:rPr>
          <w:rFonts w:eastAsiaTheme="majorEastAsia" w:cstheme="minorHAnsi"/>
          <w:highlight w:val="yellow"/>
        </w:rPr>
      </w:pPr>
      <w:r>
        <w:rPr>
          <w:rFonts w:cstheme="minorHAnsi"/>
        </w:rPr>
        <w:t>- f</w:t>
      </w:r>
      <w:r w:rsidR="001C59CD">
        <w:rPr>
          <w:rFonts w:cstheme="minorHAnsi"/>
        </w:rPr>
        <w:t xml:space="preserve">öreslås att </w:t>
      </w:r>
      <w:r w:rsidR="00EF555A">
        <w:rPr>
          <w:rFonts w:cstheme="minorHAnsi"/>
        </w:rPr>
        <w:t>anta</w:t>
      </w:r>
      <w:r w:rsidR="001C59CD">
        <w:rPr>
          <w:rFonts w:cstheme="minorHAnsi"/>
        </w:rPr>
        <w:t xml:space="preserve"> </w:t>
      </w:r>
      <w:r w:rsidR="00CD0F1B">
        <w:rPr>
          <w:rFonts w:cstheme="minorHAnsi"/>
        </w:rPr>
        <w:t>Göteborg</w:t>
      </w:r>
      <w:r w:rsidR="005309D9">
        <w:rPr>
          <w:rFonts w:cstheme="minorHAnsi"/>
        </w:rPr>
        <w:t>s</w:t>
      </w:r>
      <w:r w:rsidR="00CD0F1B">
        <w:rPr>
          <w:rFonts w:cstheme="minorHAnsi"/>
        </w:rPr>
        <w:t xml:space="preserve"> Stads regel för attest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3271CA79" w14:textId="0DA5D316" w:rsidR="00974C00" w:rsidRDefault="00635017" w:rsidP="005D2D01">
      <w:pPr>
        <w:autoSpaceDE w:val="0"/>
        <w:autoSpaceDN w:val="0"/>
        <w:adjustRightInd w:val="0"/>
        <w:spacing w:after="0" w:line="240" w:lineRule="auto"/>
        <w:rPr>
          <w:szCs w:val="22"/>
        </w:rPr>
      </w:pPr>
      <w:r>
        <w:rPr>
          <w:szCs w:val="22"/>
        </w:rPr>
        <w:t>Göteborgs</w:t>
      </w:r>
      <w:r w:rsidR="00EE6449">
        <w:rPr>
          <w:szCs w:val="22"/>
        </w:rPr>
        <w:t xml:space="preserve"> </w:t>
      </w:r>
      <w:r>
        <w:rPr>
          <w:szCs w:val="22"/>
        </w:rPr>
        <w:t>S</w:t>
      </w:r>
      <w:r w:rsidR="00EE6449">
        <w:rPr>
          <w:szCs w:val="22"/>
        </w:rPr>
        <w:t>tad</w:t>
      </w:r>
      <w:r>
        <w:rPr>
          <w:szCs w:val="22"/>
        </w:rPr>
        <w:t xml:space="preserve"> beslutar årligen om regler för attest. </w:t>
      </w:r>
      <w:r w:rsidR="00EF555A">
        <w:rPr>
          <w:szCs w:val="22"/>
        </w:rPr>
        <w:t xml:space="preserve">Tidigare </w:t>
      </w:r>
      <w:r w:rsidR="00B67D70">
        <w:rPr>
          <w:szCs w:val="22"/>
        </w:rPr>
        <w:t xml:space="preserve">år </w:t>
      </w:r>
      <w:r w:rsidR="00EF555A">
        <w:rPr>
          <w:szCs w:val="22"/>
        </w:rPr>
        <w:t>har G</w:t>
      </w:r>
      <w:r w:rsidR="00B67D70">
        <w:rPr>
          <w:szCs w:val="22"/>
        </w:rPr>
        <w:t>öteborgs Spårvägar</w:t>
      </w:r>
      <w:r w:rsidR="00B8002A">
        <w:rPr>
          <w:szCs w:val="22"/>
        </w:rPr>
        <w:t>,</w:t>
      </w:r>
      <w:r w:rsidR="00EF555A">
        <w:rPr>
          <w:szCs w:val="22"/>
        </w:rPr>
        <w:t xml:space="preserve"> </w:t>
      </w:r>
      <w:r w:rsidR="00B9677B">
        <w:rPr>
          <w:szCs w:val="22"/>
        </w:rPr>
        <w:t>utifrån Stadens regler för attest</w:t>
      </w:r>
      <w:r w:rsidR="00B67D70">
        <w:rPr>
          <w:szCs w:val="22"/>
        </w:rPr>
        <w:t>,</w:t>
      </w:r>
      <w:r w:rsidR="00B9677B">
        <w:rPr>
          <w:szCs w:val="22"/>
        </w:rPr>
        <w:t xml:space="preserve"> formulerat </w:t>
      </w:r>
      <w:r w:rsidR="000C0072">
        <w:rPr>
          <w:szCs w:val="22"/>
        </w:rPr>
        <w:t xml:space="preserve">egna </w:t>
      </w:r>
      <w:r w:rsidR="00376877">
        <w:rPr>
          <w:szCs w:val="22"/>
        </w:rPr>
        <w:t>attest</w:t>
      </w:r>
      <w:r w:rsidR="000C0072">
        <w:rPr>
          <w:szCs w:val="22"/>
        </w:rPr>
        <w:t xml:space="preserve">regler. Nu har </w:t>
      </w:r>
      <w:r w:rsidR="00B8002A">
        <w:rPr>
          <w:szCs w:val="22"/>
        </w:rPr>
        <w:t>Göteborgs Spårvägar</w:t>
      </w:r>
      <w:r w:rsidR="000C0072">
        <w:rPr>
          <w:szCs w:val="22"/>
        </w:rPr>
        <w:t xml:space="preserve"> gått in i stadens system</w:t>
      </w:r>
      <w:r w:rsidR="00376877">
        <w:rPr>
          <w:szCs w:val="22"/>
        </w:rPr>
        <w:t>lösning</w:t>
      </w:r>
      <w:r w:rsidR="00B8002A">
        <w:rPr>
          <w:szCs w:val="22"/>
        </w:rPr>
        <w:t>ar</w:t>
      </w:r>
      <w:r w:rsidR="00376877">
        <w:rPr>
          <w:szCs w:val="22"/>
        </w:rPr>
        <w:t xml:space="preserve"> </w:t>
      </w:r>
      <w:proofErr w:type="spellStart"/>
      <w:r w:rsidR="00376877">
        <w:rPr>
          <w:szCs w:val="22"/>
        </w:rPr>
        <w:t>Agresso</w:t>
      </w:r>
      <w:proofErr w:type="spellEnd"/>
      <w:r w:rsidR="00376877">
        <w:rPr>
          <w:szCs w:val="22"/>
        </w:rPr>
        <w:t xml:space="preserve">, </w:t>
      </w:r>
      <w:proofErr w:type="spellStart"/>
      <w:r w:rsidR="00376877">
        <w:rPr>
          <w:szCs w:val="22"/>
        </w:rPr>
        <w:t>Proceedo</w:t>
      </w:r>
      <w:proofErr w:type="spellEnd"/>
      <w:r w:rsidR="00376877">
        <w:rPr>
          <w:szCs w:val="22"/>
        </w:rPr>
        <w:t xml:space="preserve"> och Hypergene</w:t>
      </w:r>
      <w:r w:rsidR="000C0072">
        <w:rPr>
          <w:szCs w:val="22"/>
        </w:rPr>
        <w:t xml:space="preserve">, vilket gör att </w:t>
      </w:r>
      <w:r w:rsidR="00B8002A">
        <w:rPr>
          <w:szCs w:val="22"/>
        </w:rPr>
        <w:t xml:space="preserve">Göteborgs Spårvägar kan anta samma </w:t>
      </w:r>
      <w:r w:rsidR="000C0072">
        <w:rPr>
          <w:szCs w:val="22"/>
        </w:rPr>
        <w:t xml:space="preserve">attestregler </w:t>
      </w:r>
      <w:r w:rsidR="00B67D70">
        <w:rPr>
          <w:szCs w:val="22"/>
        </w:rPr>
        <w:t>som inom Göteborgs Stad.</w:t>
      </w:r>
      <w:r w:rsidR="00420455">
        <w:rPr>
          <w:szCs w:val="22"/>
        </w:rPr>
        <w:t xml:space="preserve"> På </w:t>
      </w:r>
      <w:r w:rsidR="00773723">
        <w:rPr>
          <w:szCs w:val="22"/>
        </w:rPr>
        <w:t xml:space="preserve">varje </w:t>
      </w:r>
      <w:r w:rsidR="00420455">
        <w:rPr>
          <w:szCs w:val="22"/>
        </w:rPr>
        <w:t>bolagsledning</w:t>
      </w:r>
      <w:r w:rsidR="00773723">
        <w:rPr>
          <w:szCs w:val="22"/>
        </w:rPr>
        <w:t xml:space="preserve">smöte beslutas </w:t>
      </w:r>
      <w:r w:rsidR="00E53F8F">
        <w:rPr>
          <w:szCs w:val="22"/>
        </w:rPr>
        <w:t xml:space="preserve">vilka individer som ska ha attesträtt, vilken </w:t>
      </w:r>
      <w:r w:rsidR="00773723">
        <w:rPr>
          <w:szCs w:val="22"/>
        </w:rPr>
        <w:t>beloppsgräns</w:t>
      </w:r>
      <w:r w:rsidR="00E53F8F">
        <w:rPr>
          <w:szCs w:val="22"/>
        </w:rPr>
        <w:t xml:space="preserve"> som gäller</w:t>
      </w:r>
      <w:r w:rsidR="00773723">
        <w:rPr>
          <w:szCs w:val="22"/>
        </w:rPr>
        <w:t xml:space="preserve"> </w:t>
      </w:r>
      <w:r w:rsidR="00E53F8F">
        <w:rPr>
          <w:szCs w:val="22"/>
        </w:rPr>
        <w:t xml:space="preserve">samt vilka ansvarskoder som </w:t>
      </w:r>
      <w:r w:rsidR="0041188E">
        <w:rPr>
          <w:szCs w:val="22"/>
        </w:rPr>
        <w:t>respektive individ</w:t>
      </w:r>
      <w:r w:rsidR="00E53F8F">
        <w:rPr>
          <w:szCs w:val="22"/>
        </w:rPr>
        <w:t xml:space="preserve"> har rätt att attestera kostnader inom. </w:t>
      </w:r>
    </w:p>
    <w:p w14:paraId="2D9FBE12" w14:textId="77777777" w:rsidR="0041188E" w:rsidRDefault="0041188E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036082DA" w14:textId="06F25EE4" w:rsidR="002C2ECA" w:rsidRDefault="004F584C" w:rsidP="002C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Regler för attest är en viktig förutsättning för ekonomisk kontroll och </w:t>
      </w:r>
      <w:r w:rsidR="002C2ECA">
        <w:rPr>
          <w:rFonts w:ascii="Times New Roman" w:hAnsi="Times New Roman" w:cs="Times New Roman"/>
          <w:szCs w:val="22"/>
        </w:rPr>
        <w:t>budgetefterlevnad.</w:t>
      </w:r>
      <w:r w:rsidR="00420455">
        <w:rPr>
          <w:rFonts w:ascii="Times New Roman" w:hAnsi="Times New Roman" w:cs="Times New Roman"/>
          <w:szCs w:val="22"/>
        </w:rPr>
        <w:t xml:space="preserve"> </w:t>
      </w:r>
    </w:p>
    <w:p w14:paraId="28888BA3" w14:textId="55C5086A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6CC20F0E" w14:textId="1B0D8D3E" w:rsidR="00AF258F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1A2494" w:rsidRDefault="00AF258F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="00452876" w:rsidRPr="001A2494">
        <w:rPr>
          <w:rFonts w:cstheme="minorHAnsi"/>
        </w:rPr>
        <w:t xml:space="preserve">  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34F05C76" w14:textId="77777777" w:rsidR="0089071D" w:rsidRDefault="0089071D" w:rsidP="0089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0417E7F9" w14:textId="77777777" w:rsidR="0089071D" w:rsidRPr="001A2494" w:rsidRDefault="0089071D" w:rsidP="0089071D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07DE8872" w:rsidR="003D53C8" w:rsidRPr="001A2494" w:rsidRDefault="009E6493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Ärendet är inte föremål för samverkan. 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5C3E7B08" w14:textId="541822CE" w:rsidR="00A90651" w:rsidRPr="00B45C07" w:rsidRDefault="0074326F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>Göteborgs Stads regel för attest</w:t>
      </w:r>
    </w:p>
    <w:sectPr w:rsidR="00A90651" w:rsidRPr="00B45C07" w:rsidSect="005A519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849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5CC3" w14:textId="77777777" w:rsidR="00894850" w:rsidRDefault="00894850" w:rsidP="00BF282B">
      <w:pPr>
        <w:spacing w:after="0" w:line="240" w:lineRule="auto"/>
      </w:pPr>
      <w:r>
        <w:separator/>
      </w:r>
    </w:p>
  </w:endnote>
  <w:endnote w:type="continuationSeparator" w:id="0">
    <w:p w14:paraId="52476267" w14:textId="77777777" w:rsidR="00894850" w:rsidRDefault="0089485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FB08" w14:textId="77777777" w:rsidR="00894850" w:rsidRDefault="00894850" w:rsidP="00BF282B">
      <w:pPr>
        <w:spacing w:after="0" w:line="240" w:lineRule="auto"/>
      </w:pPr>
      <w:r>
        <w:separator/>
      </w:r>
    </w:p>
  </w:footnote>
  <w:footnote w:type="continuationSeparator" w:id="0">
    <w:p w14:paraId="129B2272" w14:textId="77777777" w:rsidR="00894850" w:rsidRDefault="0089485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5F612C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176AF5" w:rsidRDefault="00B01C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900"/>
    <w:rsid w:val="000400B9"/>
    <w:rsid w:val="00040696"/>
    <w:rsid w:val="00063FCE"/>
    <w:rsid w:val="000959B7"/>
    <w:rsid w:val="000B151A"/>
    <w:rsid w:val="000B6F6F"/>
    <w:rsid w:val="000C0072"/>
    <w:rsid w:val="000C68BA"/>
    <w:rsid w:val="000C6B6F"/>
    <w:rsid w:val="000F2B85"/>
    <w:rsid w:val="0010152A"/>
    <w:rsid w:val="001020F8"/>
    <w:rsid w:val="001065EC"/>
    <w:rsid w:val="0011061F"/>
    <w:rsid w:val="0011381D"/>
    <w:rsid w:val="001173E9"/>
    <w:rsid w:val="00125F7A"/>
    <w:rsid w:val="00142FEF"/>
    <w:rsid w:val="00154DFC"/>
    <w:rsid w:val="00173F0C"/>
    <w:rsid w:val="001A2494"/>
    <w:rsid w:val="001C2218"/>
    <w:rsid w:val="001C59CD"/>
    <w:rsid w:val="001D645F"/>
    <w:rsid w:val="00211524"/>
    <w:rsid w:val="00230319"/>
    <w:rsid w:val="00241F59"/>
    <w:rsid w:val="00257F49"/>
    <w:rsid w:val="00274487"/>
    <w:rsid w:val="00276D4C"/>
    <w:rsid w:val="00293ED2"/>
    <w:rsid w:val="002A3521"/>
    <w:rsid w:val="002A487A"/>
    <w:rsid w:val="002C2ECA"/>
    <w:rsid w:val="002D09F7"/>
    <w:rsid w:val="00313479"/>
    <w:rsid w:val="003164EC"/>
    <w:rsid w:val="00323048"/>
    <w:rsid w:val="00332A7F"/>
    <w:rsid w:val="00350FEF"/>
    <w:rsid w:val="00356E7F"/>
    <w:rsid w:val="003671E4"/>
    <w:rsid w:val="00367F49"/>
    <w:rsid w:val="00372CB4"/>
    <w:rsid w:val="00376877"/>
    <w:rsid w:val="003A1F7F"/>
    <w:rsid w:val="003D53C8"/>
    <w:rsid w:val="003E186D"/>
    <w:rsid w:val="003F0C08"/>
    <w:rsid w:val="00402D46"/>
    <w:rsid w:val="0041188E"/>
    <w:rsid w:val="00414E79"/>
    <w:rsid w:val="00420455"/>
    <w:rsid w:val="00421D62"/>
    <w:rsid w:val="00432C42"/>
    <w:rsid w:val="00440D30"/>
    <w:rsid w:val="0044213F"/>
    <w:rsid w:val="00452876"/>
    <w:rsid w:val="00452E65"/>
    <w:rsid w:val="00455D7A"/>
    <w:rsid w:val="00460276"/>
    <w:rsid w:val="00473C11"/>
    <w:rsid w:val="00486EEE"/>
    <w:rsid w:val="00492515"/>
    <w:rsid w:val="004A5252"/>
    <w:rsid w:val="004A7561"/>
    <w:rsid w:val="004B0C58"/>
    <w:rsid w:val="004B287C"/>
    <w:rsid w:val="004C0571"/>
    <w:rsid w:val="004C08B5"/>
    <w:rsid w:val="004C78B0"/>
    <w:rsid w:val="004F584C"/>
    <w:rsid w:val="004F7DBD"/>
    <w:rsid w:val="00521790"/>
    <w:rsid w:val="005309D9"/>
    <w:rsid w:val="00537D51"/>
    <w:rsid w:val="005729A0"/>
    <w:rsid w:val="005839C8"/>
    <w:rsid w:val="00597ACB"/>
    <w:rsid w:val="005A103A"/>
    <w:rsid w:val="005A4EE0"/>
    <w:rsid w:val="005A5195"/>
    <w:rsid w:val="005B2B3E"/>
    <w:rsid w:val="005D1FBE"/>
    <w:rsid w:val="005D2D01"/>
    <w:rsid w:val="005E6622"/>
    <w:rsid w:val="005F5390"/>
    <w:rsid w:val="005F5B2A"/>
    <w:rsid w:val="00604EFF"/>
    <w:rsid w:val="006073C2"/>
    <w:rsid w:val="00607F19"/>
    <w:rsid w:val="00613965"/>
    <w:rsid w:val="0062393F"/>
    <w:rsid w:val="00623D4E"/>
    <w:rsid w:val="00631C23"/>
    <w:rsid w:val="00635017"/>
    <w:rsid w:val="006772D2"/>
    <w:rsid w:val="00690A7F"/>
    <w:rsid w:val="00697E87"/>
    <w:rsid w:val="006B0F7B"/>
    <w:rsid w:val="006B799E"/>
    <w:rsid w:val="006E3041"/>
    <w:rsid w:val="006E57BD"/>
    <w:rsid w:val="00720B05"/>
    <w:rsid w:val="00723710"/>
    <w:rsid w:val="00742AE2"/>
    <w:rsid w:val="0074326F"/>
    <w:rsid w:val="00745A19"/>
    <w:rsid w:val="007517BE"/>
    <w:rsid w:val="00752CBB"/>
    <w:rsid w:val="00755C85"/>
    <w:rsid w:val="007577FE"/>
    <w:rsid w:val="00761A33"/>
    <w:rsid w:val="00762AFF"/>
    <w:rsid w:val="00766929"/>
    <w:rsid w:val="00770200"/>
    <w:rsid w:val="00773723"/>
    <w:rsid w:val="007A0E1C"/>
    <w:rsid w:val="007A7F8D"/>
    <w:rsid w:val="007B3AF5"/>
    <w:rsid w:val="007C3A06"/>
    <w:rsid w:val="007E1E3B"/>
    <w:rsid w:val="007F5BED"/>
    <w:rsid w:val="00831E91"/>
    <w:rsid w:val="00841349"/>
    <w:rsid w:val="00855CEF"/>
    <w:rsid w:val="0087328B"/>
    <w:rsid w:val="008760F6"/>
    <w:rsid w:val="00884F9C"/>
    <w:rsid w:val="0089071D"/>
    <w:rsid w:val="00894850"/>
    <w:rsid w:val="00897A72"/>
    <w:rsid w:val="008A34C6"/>
    <w:rsid w:val="008B3457"/>
    <w:rsid w:val="008B727C"/>
    <w:rsid w:val="008C63C4"/>
    <w:rsid w:val="008E56C2"/>
    <w:rsid w:val="00902B0A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A3FC7"/>
    <w:rsid w:val="009B4E2A"/>
    <w:rsid w:val="009D4D5C"/>
    <w:rsid w:val="009E6493"/>
    <w:rsid w:val="00A074B5"/>
    <w:rsid w:val="00A345C1"/>
    <w:rsid w:val="00A3668C"/>
    <w:rsid w:val="00A47AD9"/>
    <w:rsid w:val="00A5177C"/>
    <w:rsid w:val="00A55744"/>
    <w:rsid w:val="00A739CD"/>
    <w:rsid w:val="00A8112E"/>
    <w:rsid w:val="00A87DD8"/>
    <w:rsid w:val="00A90651"/>
    <w:rsid w:val="00A9331B"/>
    <w:rsid w:val="00AA0284"/>
    <w:rsid w:val="00AB21D4"/>
    <w:rsid w:val="00AE5147"/>
    <w:rsid w:val="00AE5F41"/>
    <w:rsid w:val="00AE69DA"/>
    <w:rsid w:val="00AF258F"/>
    <w:rsid w:val="00B01C2C"/>
    <w:rsid w:val="00B15711"/>
    <w:rsid w:val="00B456FF"/>
    <w:rsid w:val="00B45C07"/>
    <w:rsid w:val="00B46A7D"/>
    <w:rsid w:val="00B47795"/>
    <w:rsid w:val="00B60C7B"/>
    <w:rsid w:val="00B63E0E"/>
    <w:rsid w:val="00B670EC"/>
    <w:rsid w:val="00B67D70"/>
    <w:rsid w:val="00B700CD"/>
    <w:rsid w:val="00B8002A"/>
    <w:rsid w:val="00B9677B"/>
    <w:rsid w:val="00BA1320"/>
    <w:rsid w:val="00BD0663"/>
    <w:rsid w:val="00BE16F4"/>
    <w:rsid w:val="00BF1EC3"/>
    <w:rsid w:val="00BF282B"/>
    <w:rsid w:val="00C0363D"/>
    <w:rsid w:val="00C10045"/>
    <w:rsid w:val="00C15E2F"/>
    <w:rsid w:val="00C745DE"/>
    <w:rsid w:val="00C75AA2"/>
    <w:rsid w:val="00C85A21"/>
    <w:rsid w:val="00CA1A47"/>
    <w:rsid w:val="00CA53CF"/>
    <w:rsid w:val="00CB1292"/>
    <w:rsid w:val="00CC4D12"/>
    <w:rsid w:val="00CD0F1B"/>
    <w:rsid w:val="00CD65E8"/>
    <w:rsid w:val="00CF1D6C"/>
    <w:rsid w:val="00D16656"/>
    <w:rsid w:val="00D21D96"/>
    <w:rsid w:val="00D22966"/>
    <w:rsid w:val="00D2362C"/>
    <w:rsid w:val="00D60894"/>
    <w:rsid w:val="00D70B47"/>
    <w:rsid w:val="00D731D2"/>
    <w:rsid w:val="00DA76F6"/>
    <w:rsid w:val="00DB74F5"/>
    <w:rsid w:val="00DC4B44"/>
    <w:rsid w:val="00DC59E4"/>
    <w:rsid w:val="00DC5A8E"/>
    <w:rsid w:val="00DC6E79"/>
    <w:rsid w:val="00DF152D"/>
    <w:rsid w:val="00DF7C26"/>
    <w:rsid w:val="00E11731"/>
    <w:rsid w:val="00E117C5"/>
    <w:rsid w:val="00E172BB"/>
    <w:rsid w:val="00E53F8F"/>
    <w:rsid w:val="00E53FCF"/>
    <w:rsid w:val="00E65259"/>
    <w:rsid w:val="00EE6449"/>
    <w:rsid w:val="00EF388D"/>
    <w:rsid w:val="00EF555A"/>
    <w:rsid w:val="00F1797F"/>
    <w:rsid w:val="00F4117C"/>
    <w:rsid w:val="00F43C47"/>
    <w:rsid w:val="00F50260"/>
    <w:rsid w:val="00F57801"/>
    <w:rsid w:val="00F61309"/>
    <w:rsid w:val="00F66187"/>
    <w:rsid w:val="00F75126"/>
    <w:rsid w:val="00FA0781"/>
    <w:rsid w:val="00FA0F4B"/>
    <w:rsid w:val="00FB0864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8B5"/>
    <w:pPr>
      <w:autoSpaceDE w:val="0"/>
      <w:autoSpaceDN w:val="0"/>
      <w:adjustRightInd w:val="0"/>
      <w:spacing w:after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6D7AC4"/>
    <w:rsid w:val="009614B2"/>
    <w:rsid w:val="00A1739A"/>
    <w:rsid w:val="00C241DC"/>
    <w:rsid w:val="00CE2E01"/>
    <w:rsid w:val="00CE77A7"/>
    <w:rsid w:val="00E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1246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25</cp:revision>
  <cp:lastPrinted>2017-01-05T15:29:00Z</cp:lastPrinted>
  <dcterms:created xsi:type="dcterms:W3CDTF">2023-02-22T09:58:00Z</dcterms:created>
  <dcterms:modified xsi:type="dcterms:W3CDTF">2023-02-23T11:51:00Z</dcterms:modified>
</cp:coreProperties>
</file>