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B4FC" w14:textId="7C5664FD" w:rsidR="00367F49" w:rsidRPr="00DB6BAB" w:rsidRDefault="00DB6BAB" w:rsidP="00DB6BAB">
      <w:pPr>
        <w:pStyle w:val="Rubrik1"/>
        <w:rPr>
          <w:b w:val="0"/>
          <w:bCs/>
        </w:rPr>
      </w:pPr>
      <w:r w:rsidRPr="00DB6BAB">
        <w:rPr>
          <w:rStyle w:val="Rubrik1Char"/>
          <w:rFonts w:ascii="Arial" w:hAnsi="Arial" w:cs="Arial"/>
          <w:b/>
          <w:bCs/>
          <w:lang w:eastAsia="sv-SE"/>
        </w:rPr>
        <w:t xml:space="preserve">Göteborgs stads </w:t>
      </w:r>
      <w:r w:rsidR="00FF5B5B">
        <w:rPr>
          <w:rStyle w:val="Rubrik1Char"/>
          <w:rFonts w:ascii="Arial" w:hAnsi="Arial" w:cs="Arial"/>
          <w:b/>
          <w:bCs/>
          <w:lang w:eastAsia="sv-SE"/>
        </w:rPr>
        <w:t>handlingsplan för att motverka tystnadskultur</w:t>
      </w:r>
      <w:r>
        <w:rPr>
          <w:rStyle w:val="Rubrik1Char"/>
          <w:rFonts w:ascii="Arial" w:hAnsi="Arial" w:cs="Arial"/>
          <w:b/>
          <w:bCs/>
          <w:lang w:eastAsia="sv-SE"/>
        </w:rPr>
        <w:t xml:space="preserve"> – remissmall</w:t>
      </w:r>
    </w:p>
    <w:p w14:paraId="6108FBB1" w14:textId="0309B953" w:rsidR="00DA76F6" w:rsidRDefault="00DA76F6" w:rsidP="00986A1D"/>
    <w:p w14:paraId="27175303" w14:textId="5BE2887D" w:rsidR="00E2631E" w:rsidRDefault="004A32E7" w:rsidP="00986A1D">
      <w:pPr>
        <w:rPr>
          <w:rFonts w:ascii="Arial" w:hAnsi="Arial" w:cs="Arial"/>
          <w:sz w:val="20"/>
          <w:szCs w:val="20"/>
        </w:rPr>
      </w:pPr>
      <w:r w:rsidRPr="00444C63">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017F2873" wp14:editId="4E6592FE">
                <wp:simplePos x="0" y="0"/>
                <wp:positionH relativeFrom="column">
                  <wp:posOffset>34290</wp:posOffset>
                </wp:positionH>
                <wp:positionV relativeFrom="paragraph">
                  <wp:posOffset>599440</wp:posOffset>
                </wp:positionV>
                <wp:extent cx="5675630" cy="3329940"/>
                <wp:effectExtent l="0" t="0" r="20320" b="2286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3329940"/>
                        </a:xfrm>
                        <a:prstGeom prst="rect">
                          <a:avLst/>
                        </a:prstGeom>
                        <a:solidFill>
                          <a:srgbClr val="FFFFFF"/>
                        </a:solidFill>
                        <a:ln w="9525">
                          <a:solidFill>
                            <a:srgbClr val="000000"/>
                          </a:solidFill>
                          <a:miter lim="800000"/>
                          <a:headEnd/>
                          <a:tailEnd/>
                        </a:ln>
                      </wps:spPr>
                      <wps:txbx>
                        <w:txbxContent>
                          <w:p w14:paraId="33A97501" w14:textId="77777777" w:rsidR="004A32E7" w:rsidRPr="00271812" w:rsidRDefault="004A32E7" w:rsidP="004A32E7">
                            <w:pPr>
                              <w:rPr>
                                <w:rFonts w:ascii="Arial" w:hAnsi="Arial" w:cs="Arial"/>
                                <w:b/>
                                <w:bCs/>
                                <w:sz w:val="20"/>
                                <w:szCs w:val="20"/>
                              </w:rPr>
                            </w:pPr>
                            <w:r w:rsidRPr="00271812">
                              <w:rPr>
                                <w:rFonts w:ascii="Arial" w:hAnsi="Arial" w:cs="Arial"/>
                                <w:b/>
                                <w:bCs/>
                                <w:sz w:val="20"/>
                                <w:szCs w:val="20"/>
                              </w:rPr>
                              <w:t>Hur ser ni på de bakomliggande orsaker till tystnadskultur som identifierats i lägesbilden? Omhändertas de problem som er verksamhet primärt möter?</w:t>
                            </w:r>
                          </w:p>
                          <w:p w14:paraId="29B4A8AC" w14:textId="79C20DCB" w:rsidR="00B17E19" w:rsidRPr="00271812" w:rsidRDefault="00337FE6" w:rsidP="00B17E19">
                            <w:pPr>
                              <w:rPr>
                                <w:rFonts w:ascii="Arial" w:hAnsi="Arial" w:cs="Arial"/>
                                <w:sz w:val="20"/>
                                <w:szCs w:val="20"/>
                              </w:rPr>
                            </w:pPr>
                            <w:r w:rsidRPr="00271812">
                              <w:rPr>
                                <w:rFonts w:ascii="Arial" w:hAnsi="Arial" w:cs="Arial"/>
                                <w:sz w:val="20"/>
                                <w:szCs w:val="20"/>
                              </w:rPr>
                              <w:t>I Göteborgs spårvägars verksamhet ingår</w:t>
                            </w:r>
                            <w:r w:rsidR="00EC2D05" w:rsidRPr="00271812">
                              <w:rPr>
                                <w:rFonts w:ascii="Arial" w:hAnsi="Arial" w:cs="Arial"/>
                                <w:sz w:val="20"/>
                                <w:szCs w:val="20"/>
                              </w:rPr>
                              <w:t xml:space="preserve"> att fatta </w:t>
                            </w:r>
                            <w:r w:rsidRPr="00271812">
                              <w:rPr>
                                <w:rFonts w:ascii="Arial" w:hAnsi="Arial" w:cs="Arial"/>
                                <w:sz w:val="20"/>
                                <w:szCs w:val="20"/>
                              </w:rPr>
                              <w:t xml:space="preserve">mycket få </w:t>
                            </w:r>
                            <w:r w:rsidR="004A32E7" w:rsidRPr="00271812">
                              <w:rPr>
                                <w:rFonts w:ascii="Arial" w:hAnsi="Arial" w:cs="Arial"/>
                                <w:sz w:val="20"/>
                                <w:szCs w:val="20"/>
                              </w:rPr>
                              <w:t xml:space="preserve">eller inga </w:t>
                            </w:r>
                            <w:r w:rsidRPr="00271812">
                              <w:rPr>
                                <w:rFonts w:ascii="Arial" w:hAnsi="Arial" w:cs="Arial"/>
                                <w:sz w:val="20"/>
                                <w:szCs w:val="20"/>
                              </w:rPr>
                              <w:t xml:space="preserve">myndighetsbeslut som direkt påverkar </w:t>
                            </w:r>
                            <w:r w:rsidR="00EC2D05" w:rsidRPr="00271812">
                              <w:rPr>
                                <w:rFonts w:ascii="Arial" w:hAnsi="Arial" w:cs="Arial"/>
                                <w:sz w:val="20"/>
                                <w:szCs w:val="20"/>
                              </w:rPr>
                              <w:t xml:space="preserve">externa individer. </w:t>
                            </w:r>
                            <w:r w:rsidR="00B17E19" w:rsidRPr="00271812">
                              <w:rPr>
                                <w:rFonts w:ascii="Arial" w:hAnsi="Arial" w:cs="Arial"/>
                                <w:sz w:val="20"/>
                                <w:szCs w:val="20"/>
                              </w:rPr>
                              <w:t xml:space="preserve">Bolaget beslutar inte om taxan i kollektivtrafiken, utför inte biljettkontroller och tar inte betalt av resenärer. Hanteringen av pengar eller fördelning av materiella fördelar ingår inte i uppdraget. Bolaget har dock många medarbetare som arbetar i det offentliga rummet där de möter allmänheten i alla stadens områden. Hot och våld förekommer i dessa offentliga möten men avsikten är sällan att påverka ett kommande beslut. </w:t>
                            </w:r>
                          </w:p>
                          <w:p w14:paraId="24954B6F" w14:textId="1B8EDCD4" w:rsidR="004A32E7" w:rsidRPr="00271812" w:rsidRDefault="00EC2D05">
                            <w:pPr>
                              <w:rPr>
                                <w:rFonts w:ascii="Arial" w:hAnsi="Arial" w:cs="Arial"/>
                                <w:sz w:val="20"/>
                                <w:szCs w:val="20"/>
                              </w:rPr>
                            </w:pPr>
                            <w:r w:rsidRPr="00271812">
                              <w:rPr>
                                <w:rFonts w:ascii="Arial" w:hAnsi="Arial" w:cs="Arial"/>
                                <w:sz w:val="20"/>
                                <w:szCs w:val="20"/>
                              </w:rPr>
                              <w:t>Rekryteringsbeslut utgör ett undantag</w:t>
                            </w:r>
                            <w:r w:rsidR="004A32E7" w:rsidRPr="00271812">
                              <w:rPr>
                                <w:rFonts w:ascii="Arial" w:hAnsi="Arial" w:cs="Arial"/>
                                <w:sz w:val="20"/>
                                <w:szCs w:val="20"/>
                              </w:rPr>
                              <w:t xml:space="preserve"> där rekryterare och rekryterande chefer ibland utsätts för försök att påverka i olika omfattning. Problemen är inte omfattande och består främst av att motta upprörda känslor från avvisade kandidater.</w:t>
                            </w:r>
                            <w:r w:rsidR="00B17E19" w:rsidRPr="00271812">
                              <w:rPr>
                                <w:rFonts w:ascii="Arial" w:hAnsi="Arial" w:cs="Arial"/>
                                <w:sz w:val="20"/>
                                <w:szCs w:val="20"/>
                              </w:rPr>
                              <w:t xml:space="preserve"> Vid avslut av anställningar uppstår också ibland starka känslor som tar sig uttryck på icke önskvärda vis.</w:t>
                            </w:r>
                          </w:p>
                          <w:p w14:paraId="4126B6F5" w14:textId="052E12EF" w:rsidR="00444C63" w:rsidRPr="00271812" w:rsidRDefault="00337FE6">
                            <w:pPr>
                              <w:rPr>
                                <w:rFonts w:ascii="Arial" w:hAnsi="Arial" w:cs="Arial"/>
                                <w:sz w:val="20"/>
                                <w:szCs w:val="20"/>
                              </w:rPr>
                            </w:pPr>
                            <w:r w:rsidRPr="00271812">
                              <w:rPr>
                                <w:rFonts w:ascii="Arial" w:hAnsi="Arial" w:cs="Arial"/>
                                <w:sz w:val="20"/>
                                <w:szCs w:val="20"/>
                              </w:rPr>
                              <w:t xml:space="preserve">Kartläggningen har identifierat sju framträdande orsaker till tystnad; otillåten påverkan, rädsla för hot och våld, rapportering och rättsprocessen, parallella samhällsstrukturer, rädsla för repressalier, arbete och boende i samma område samt normalisering. </w:t>
                            </w:r>
                          </w:p>
                          <w:p w14:paraId="61B2F1F5" w14:textId="00588C4E" w:rsidR="00180598" w:rsidRPr="00271812" w:rsidRDefault="00180598">
                            <w:pPr>
                              <w:rPr>
                                <w:rFonts w:ascii="Arial" w:hAnsi="Arial" w:cs="Arial"/>
                                <w:sz w:val="20"/>
                                <w:szCs w:val="20"/>
                              </w:rPr>
                            </w:pPr>
                            <w:r w:rsidRPr="00271812">
                              <w:rPr>
                                <w:rFonts w:ascii="Arial" w:hAnsi="Arial" w:cs="Arial"/>
                                <w:sz w:val="20"/>
                                <w:szCs w:val="20"/>
                              </w:rPr>
                              <w:t xml:space="preserve">De bakomliggande orsakerna som identifierats </w:t>
                            </w:r>
                            <w:r w:rsidR="00EC2D05" w:rsidRPr="00271812">
                              <w:rPr>
                                <w:rFonts w:ascii="Arial" w:hAnsi="Arial" w:cs="Arial"/>
                                <w:sz w:val="20"/>
                                <w:szCs w:val="20"/>
                              </w:rPr>
                              <w:t>känns igen och tycks väl</w:t>
                            </w:r>
                            <w:r w:rsidRPr="00271812">
                              <w:rPr>
                                <w:rFonts w:ascii="Arial" w:hAnsi="Arial" w:cs="Arial"/>
                                <w:sz w:val="20"/>
                                <w:szCs w:val="20"/>
                              </w:rPr>
                              <w:t xml:space="preserve"> underbyggda.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F2873" id="_x0000_t202" coordsize="21600,21600" o:spt="202" path="m,l,21600r21600,l21600,xe">
                <v:stroke joinstyle="miter"/>
                <v:path gradientshapeok="t" o:connecttype="rect"/>
              </v:shapetype>
              <v:shape id="Textruta 2" o:spid="_x0000_s1026" type="#_x0000_t202" style="position:absolute;margin-left:2.7pt;margin-top:47.2pt;width:446.9pt;height:26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">
                <v:textbox>
                  <w:txbxContent>
                    <w:p w14:paraId="33A97501" w14:textId="77777777" w:rsidR="004A32E7" w:rsidRPr="00271812" w:rsidRDefault="004A32E7" w:rsidP="004A32E7">
                      <w:pPr>
                        <w:rPr>
                          <w:rFonts w:ascii="Arial" w:hAnsi="Arial" w:cs="Arial"/>
                          <w:b/>
                          <w:bCs/>
                          <w:sz w:val="20"/>
                          <w:szCs w:val="20"/>
                        </w:rPr>
                      </w:pPr>
                      <w:r w:rsidRPr="00271812">
                        <w:rPr>
                          <w:rFonts w:ascii="Arial" w:hAnsi="Arial" w:cs="Arial"/>
                          <w:b/>
                          <w:bCs/>
                          <w:sz w:val="20"/>
                          <w:szCs w:val="20"/>
                        </w:rPr>
                        <w:t>Hur ser ni på de bakomliggande orsaker till tystnadskultur som identifierats i lägesbilden? Omhändertas de problem som er verksamhet primärt möter?</w:t>
                      </w:r>
                    </w:p>
                    <w:p w14:paraId="29B4A8AC" w14:textId="79C20DCB" w:rsidR="00B17E19" w:rsidRPr="00271812" w:rsidRDefault="00337FE6" w:rsidP="00B17E19">
                      <w:pPr>
                        <w:rPr>
                          <w:rFonts w:ascii="Arial" w:hAnsi="Arial" w:cs="Arial"/>
                          <w:sz w:val="20"/>
                          <w:szCs w:val="20"/>
                        </w:rPr>
                      </w:pPr>
                      <w:r w:rsidRPr="00271812">
                        <w:rPr>
                          <w:rFonts w:ascii="Arial" w:hAnsi="Arial" w:cs="Arial"/>
                          <w:sz w:val="20"/>
                          <w:szCs w:val="20"/>
                        </w:rPr>
                        <w:t>I Göteborgs spårvägars verksamhet ingår</w:t>
                      </w:r>
                      <w:r w:rsidR="00EC2D05" w:rsidRPr="00271812">
                        <w:rPr>
                          <w:rFonts w:ascii="Arial" w:hAnsi="Arial" w:cs="Arial"/>
                          <w:sz w:val="20"/>
                          <w:szCs w:val="20"/>
                        </w:rPr>
                        <w:t xml:space="preserve"> att fatta </w:t>
                      </w:r>
                      <w:r w:rsidRPr="00271812">
                        <w:rPr>
                          <w:rFonts w:ascii="Arial" w:hAnsi="Arial" w:cs="Arial"/>
                          <w:sz w:val="20"/>
                          <w:szCs w:val="20"/>
                        </w:rPr>
                        <w:t xml:space="preserve">mycket få </w:t>
                      </w:r>
                      <w:r w:rsidR="004A32E7" w:rsidRPr="00271812">
                        <w:rPr>
                          <w:rFonts w:ascii="Arial" w:hAnsi="Arial" w:cs="Arial"/>
                          <w:sz w:val="20"/>
                          <w:szCs w:val="20"/>
                        </w:rPr>
                        <w:t xml:space="preserve">eller inga </w:t>
                      </w:r>
                      <w:r w:rsidRPr="00271812">
                        <w:rPr>
                          <w:rFonts w:ascii="Arial" w:hAnsi="Arial" w:cs="Arial"/>
                          <w:sz w:val="20"/>
                          <w:szCs w:val="20"/>
                        </w:rPr>
                        <w:t xml:space="preserve">myndighetsbeslut som direkt påverkar </w:t>
                      </w:r>
                      <w:r w:rsidR="00EC2D05" w:rsidRPr="00271812">
                        <w:rPr>
                          <w:rFonts w:ascii="Arial" w:hAnsi="Arial" w:cs="Arial"/>
                          <w:sz w:val="20"/>
                          <w:szCs w:val="20"/>
                        </w:rPr>
                        <w:t xml:space="preserve">externa individer. </w:t>
                      </w:r>
                      <w:r w:rsidR="00B17E19" w:rsidRPr="00271812">
                        <w:rPr>
                          <w:rFonts w:ascii="Arial" w:hAnsi="Arial" w:cs="Arial"/>
                          <w:sz w:val="20"/>
                          <w:szCs w:val="20"/>
                        </w:rPr>
                        <w:t xml:space="preserve">Bolaget beslutar inte om taxan i kollektivtrafiken, utför inte biljettkontroller och tar inte betalt av resenärer. Hanteringen av pengar eller fördelning av materiella fördelar ingår inte i uppdraget. Bolaget har dock många medarbetare som arbetar i det offentliga rummet där de möter allmänheten i alla stadens områden. Hot och våld förekommer i dessa offentliga möten men avsikten är sällan att påverka ett kommande beslut. </w:t>
                      </w:r>
                    </w:p>
                    <w:p w14:paraId="24954B6F" w14:textId="1B8EDCD4" w:rsidR="004A32E7" w:rsidRPr="00271812" w:rsidRDefault="00EC2D05">
                      <w:pPr>
                        <w:rPr>
                          <w:rFonts w:ascii="Arial" w:hAnsi="Arial" w:cs="Arial"/>
                          <w:sz w:val="20"/>
                          <w:szCs w:val="20"/>
                        </w:rPr>
                      </w:pPr>
                      <w:r w:rsidRPr="00271812">
                        <w:rPr>
                          <w:rFonts w:ascii="Arial" w:hAnsi="Arial" w:cs="Arial"/>
                          <w:sz w:val="20"/>
                          <w:szCs w:val="20"/>
                        </w:rPr>
                        <w:t>Rekryteringsbeslut utgör ett undantag</w:t>
                      </w:r>
                      <w:r w:rsidR="004A32E7" w:rsidRPr="00271812">
                        <w:rPr>
                          <w:rFonts w:ascii="Arial" w:hAnsi="Arial" w:cs="Arial"/>
                          <w:sz w:val="20"/>
                          <w:szCs w:val="20"/>
                        </w:rPr>
                        <w:t xml:space="preserve"> där rekryterare och rekryterande chefer ibland utsätts för försök att påverka i olika omfattning. Problemen är inte omfattande och består främst av att motta upprörda känslor från avvisade kandidater.</w:t>
                      </w:r>
                      <w:r w:rsidR="00B17E19" w:rsidRPr="00271812">
                        <w:rPr>
                          <w:rFonts w:ascii="Arial" w:hAnsi="Arial" w:cs="Arial"/>
                          <w:sz w:val="20"/>
                          <w:szCs w:val="20"/>
                        </w:rPr>
                        <w:t xml:space="preserve"> Vid avslut av anställningar uppstår också ibland starka känslor som tar sig uttryck på icke önskvärda vis.</w:t>
                      </w:r>
                    </w:p>
                    <w:p w14:paraId="4126B6F5" w14:textId="052E12EF" w:rsidR="00444C63" w:rsidRPr="00271812" w:rsidRDefault="00337FE6">
                      <w:pPr>
                        <w:rPr>
                          <w:rFonts w:ascii="Arial" w:hAnsi="Arial" w:cs="Arial"/>
                          <w:sz w:val="20"/>
                          <w:szCs w:val="20"/>
                        </w:rPr>
                      </w:pPr>
                      <w:r w:rsidRPr="00271812">
                        <w:rPr>
                          <w:rFonts w:ascii="Arial" w:hAnsi="Arial" w:cs="Arial"/>
                          <w:sz w:val="20"/>
                          <w:szCs w:val="20"/>
                        </w:rPr>
                        <w:t xml:space="preserve">Kartläggningen har identifierat sju framträdande orsaker till tystnad; otillåten påverkan, rädsla för hot och våld, rapportering och rättsprocessen, parallella samhällsstrukturer, rädsla för repressalier, arbete och boende i samma område samt normalisering. </w:t>
                      </w:r>
                    </w:p>
                    <w:p w14:paraId="61B2F1F5" w14:textId="00588C4E" w:rsidR="00180598" w:rsidRPr="00271812" w:rsidRDefault="00180598">
                      <w:pPr>
                        <w:rPr>
                          <w:rFonts w:ascii="Arial" w:hAnsi="Arial" w:cs="Arial"/>
                          <w:sz w:val="20"/>
                          <w:szCs w:val="20"/>
                        </w:rPr>
                      </w:pPr>
                      <w:r w:rsidRPr="00271812">
                        <w:rPr>
                          <w:rFonts w:ascii="Arial" w:hAnsi="Arial" w:cs="Arial"/>
                          <w:sz w:val="20"/>
                          <w:szCs w:val="20"/>
                        </w:rPr>
                        <w:t xml:space="preserve">De bakomliggande orsakerna som identifierats </w:t>
                      </w:r>
                      <w:r w:rsidR="00EC2D05" w:rsidRPr="00271812">
                        <w:rPr>
                          <w:rFonts w:ascii="Arial" w:hAnsi="Arial" w:cs="Arial"/>
                          <w:sz w:val="20"/>
                          <w:szCs w:val="20"/>
                        </w:rPr>
                        <w:t>känns igen och tycks väl</w:t>
                      </w:r>
                      <w:r w:rsidRPr="00271812">
                        <w:rPr>
                          <w:rFonts w:ascii="Arial" w:hAnsi="Arial" w:cs="Arial"/>
                          <w:sz w:val="20"/>
                          <w:szCs w:val="20"/>
                        </w:rPr>
                        <w:t xml:space="preserve"> underbyggda. </w:t>
                      </w:r>
                    </w:p>
                  </w:txbxContent>
                </v:textbox>
                <w10:wrap type="square"/>
              </v:shape>
            </w:pict>
          </mc:Fallback>
        </mc:AlternateContent>
      </w:r>
      <w:r w:rsidR="00E2631E" w:rsidRPr="6D014A3A">
        <w:rPr>
          <w:rFonts w:ascii="Arial" w:hAnsi="Arial" w:cs="Arial"/>
          <w:b/>
          <w:bCs/>
          <w:sz w:val="20"/>
          <w:szCs w:val="20"/>
        </w:rPr>
        <w:t>Instruktion:</w:t>
      </w:r>
      <w:r w:rsidR="00E2631E" w:rsidRPr="6D014A3A">
        <w:rPr>
          <w:rFonts w:ascii="Arial" w:hAnsi="Arial" w:cs="Arial"/>
          <w:sz w:val="20"/>
          <w:szCs w:val="20"/>
        </w:rPr>
        <w:t xml:space="preserve"> </w:t>
      </w:r>
      <w:r w:rsidR="0095432D" w:rsidRPr="6D014A3A">
        <w:rPr>
          <w:rFonts w:ascii="Arial" w:hAnsi="Arial" w:cs="Arial"/>
          <w:sz w:val="20"/>
          <w:szCs w:val="20"/>
        </w:rPr>
        <w:t>Eventuella kommentarer skrivs</w:t>
      </w:r>
      <w:r w:rsidR="00E2631E" w:rsidRPr="6D014A3A">
        <w:rPr>
          <w:rFonts w:ascii="Arial" w:hAnsi="Arial" w:cs="Arial"/>
          <w:sz w:val="20"/>
          <w:szCs w:val="20"/>
        </w:rPr>
        <w:t xml:space="preserve"> i de vita rutorna.</w:t>
      </w:r>
      <w:r w:rsidR="00C31686" w:rsidRPr="6D014A3A">
        <w:rPr>
          <w:rFonts w:ascii="Arial" w:hAnsi="Arial" w:cs="Arial"/>
          <w:sz w:val="20"/>
          <w:szCs w:val="20"/>
        </w:rPr>
        <w:t xml:space="preserve"> Bedömningarna kan med fördel innehålla konkreta förslag</w:t>
      </w:r>
      <w:r w:rsidR="005B715A">
        <w:rPr>
          <w:rFonts w:ascii="Arial" w:hAnsi="Arial" w:cs="Arial"/>
          <w:sz w:val="20"/>
          <w:szCs w:val="20"/>
        </w:rPr>
        <w:t xml:space="preserve">. </w:t>
      </w:r>
    </w:p>
    <w:p w14:paraId="7640DBB8" w14:textId="6F063314" w:rsidR="00E2631E" w:rsidRPr="00E2631E" w:rsidRDefault="00E2631E" w:rsidP="00986A1D">
      <w:pPr>
        <w:rPr>
          <w:rFonts w:ascii="Arial" w:hAnsi="Arial" w:cs="Arial"/>
          <w:sz w:val="20"/>
          <w:szCs w:val="20"/>
        </w:rPr>
      </w:pPr>
    </w:p>
    <w:tbl>
      <w:tblPr>
        <w:tblStyle w:val="Tabellrutnt"/>
        <w:tblW w:w="9067" w:type="dxa"/>
        <w:shd w:val="clear" w:color="auto" w:fill="E7E6E6" w:themeFill="background2"/>
        <w:tblLook w:val="04A0" w:firstRow="1" w:lastRow="0" w:firstColumn="1" w:lastColumn="0" w:noHBand="0" w:noVBand="1"/>
      </w:tblPr>
      <w:tblGrid>
        <w:gridCol w:w="3963"/>
        <w:gridCol w:w="5104"/>
      </w:tblGrid>
      <w:tr w:rsidR="00DB6BAB" w:rsidRPr="00DB6BAB" w14:paraId="5ED7AF48" w14:textId="77777777" w:rsidTr="00712713">
        <w:trPr>
          <w:cnfStyle w:val="100000000000" w:firstRow="1" w:lastRow="0" w:firstColumn="0" w:lastColumn="0" w:oddVBand="0" w:evenVBand="0" w:oddHBand="0" w:evenHBand="0" w:firstRowFirstColumn="0" w:firstRowLastColumn="0" w:lastRowFirstColumn="0" w:lastRowLastColumn="0"/>
          <w:tblHeader w:val="0"/>
        </w:trPr>
        <w:tc>
          <w:tcPr>
            <w:tcW w:w="3963" w:type="dxa"/>
          </w:tcPr>
          <w:p w14:paraId="17A5C11B" w14:textId="4CB36181" w:rsidR="00DB6BAB" w:rsidRPr="00DB6BAB" w:rsidRDefault="00A23E66" w:rsidP="00D30B23">
            <w:pPr>
              <w:spacing w:before="60" w:after="60" w:afterAutospacing="0"/>
              <w:rPr>
                <w:rFonts w:ascii="Arial" w:hAnsi="Arial" w:cs="Arial"/>
                <w:sz w:val="20"/>
                <w:szCs w:val="20"/>
              </w:rPr>
            </w:pPr>
            <w:r>
              <w:rPr>
                <w:rFonts w:ascii="Arial" w:hAnsi="Arial" w:cs="Arial"/>
                <w:sz w:val="20"/>
                <w:szCs w:val="20"/>
              </w:rPr>
              <w:t>N</w:t>
            </w:r>
            <w:r w:rsidR="00DB6BAB" w:rsidRPr="00DB6BAB">
              <w:rPr>
                <w:rFonts w:ascii="Arial" w:hAnsi="Arial" w:cs="Arial"/>
                <w:sz w:val="20"/>
                <w:szCs w:val="20"/>
              </w:rPr>
              <w:t>ämnd/styrelse</w:t>
            </w:r>
            <w:r w:rsidR="00E6478A">
              <w:rPr>
                <w:rFonts w:ascii="Arial" w:hAnsi="Arial" w:cs="Arial"/>
                <w:sz w:val="20"/>
                <w:szCs w:val="20"/>
              </w:rPr>
              <w:t>/</w:t>
            </w:r>
            <w:r w:rsidR="00DB6BAB" w:rsidRPr="00DB6BAB">
              <w:rPr>
                <w:rFonts w:ascii="Arial" w:hAnsi="Arial" w:cs="Arial"/>
                <w:sz w:val="20"/>
                <w:szCs w:val="20"/>
              </w:rPr>
              <w:t>organisation</w:t>
            </w:r>
          </w:p>
        </w:tc>
        <w:tc>
          <w:tcPr>
            <w:tcW w:w="5104" w:type="dxa"/>
            <w:shd w:val="clear" w:color="auto" w:fill="auto"/>
            <w:vAlign w:val="center"/>
          </w:tcPr>
          <w:p w14:paraId="4CEDEE31" w14:textId="7548751F" w:rsidR="00DB6BAB" w:rsidRPr="00DB6BAB" w:rsidRDefault="003A3311" w:rsidP="00D30B23">
            <w:pPr>
              <w:spacing w:before="60" w:after="60" w:afterAutospacing="0"/>
              <w:rPr>
                <w:rFonts w:ascii="Arial" w:hAnsi="Arial" w:cs="Arial"/>
                <w:b w:val="0"/>
                <w:bCs/>
                <w:sz w:val="20"/>
                <w:szCs w:val="20"/>
              </w:rPr>
            </w:pPr>
            <w:r>
              <w:rPr>
                <w:rFonts w:ascii="Arial" w:hAnsi="Arial" w:cs="Arial"/>
                <w:b w:val="0"/>
                <w:bCs/>
                <w:sz w:val="20"/>
                <w:szCs w:val="20"/>
              </w:rPr>
              <w:t>Göteborgs Spårvägar AB</w:t>
            </w:r>
          </w:p>
        </w:tc>
      </w:tr>
    </w:tbl>
    <w:p w14:paraId="509AA041" w14:textId="3CE4C2C8" w:rsidR="00AE1EAA" w:rsidRDefault="00AE1EAA" w:rsidP="00DB6BAB">
      <w:pPr>
        <w:rPr>
          <w:rFonts w:ascii="Arial" w:hAnsi="Arial" w:cs="Arial"/>
          <w:sz w:val="20"/>
          <w:szCs w:val="20"/>
        </w:rPr>
      </w:pPr>
    </w:p>
    <w:p w14:paraId="5B0EEE24" w14:textId="61E29ADF" w:rsidR="004A32E7" w:rsidRDefault="0012798C" w:rsidP="004A32E7">
      <w:pPr>
        <w:rPr>
          <w:rFonts w:ascii="Arial" w:hAnsi="Arial" w:cs="Arial"/>
          <w:sz w:val="24"/>
        </w:rPr>
      </w:pPr>
      <w:r>
        <w:rPr>
          <w:rFonts w:ascii="Arial" w:hAnsi="Arial" w:cs="Arial"/>
          <w:sz w:val="24"/>
        </w:rPr>
        <w:t>B</w:t>
      </w:r>
      <w:r w:rsidRPr="00712713">
        <w:rPr>
          <w:rFonts w:ascii="Arial" w:hAnsi="Arial" w:cs="Arial"/>
          <w:sz w:val="24"/>
        </w:rPr>
        <w:t>esvaras av alla remissinstanser</w:t>
      </w:r>
    </w:p>
    <w:p w14:paraId="32EE5B13" w14:textId="640041D0" w:rsidR="00272128" w:rsidRDefault="00402B49" w:rsidP="00DB6BAB">
      <w:pPr>
        <w:rPr>
          <w:rFonts w:ascii="Arial" w:hAnsi="Arial" w:cs="Arial"/>
          <w:sz w:val="20"/>
          <w:szCs w:val="20"/>
        </w:rPr>
      </w:pPr>
      <w:r>
        <w:rPr>
          <w:rFonts w:ascii="Arial" w:hAnsi="Arial" w:cs="Arial"/>
          <w:sz w:val="20"/>
          <w:szCs w:val="20"/>
        </w:rPr>
        <w:t>Är handlingsplanens fokusområden relevanta</w:t>
      </w:r>
      <w:r w:rsidR="00157BEA">
        <w:rPr>
          <w:rFonts w:ascii="Arial" w:hAnsi="Arial" w:cs="Arial"/>
          <w:sz w:val="20"/>
          <w:szCs w:val="20"/>
        </w:rPr>
        <w:t xml:space="preserve"> utifrån problembilden</w:t>
      </w:r>
      <w:r>
        <w:rPr>
          <w:rFonts w:ascii="Arial" w:hAnsi="Arial" w:cs="Arial"/>
          <w:sz w:val="20"/>
          <w:szCs w:val="20"/>
        </w:rPr>
        <w:t>?</w:t>
      </w:r>
    </w:p>
    <w:tbl>
      <w:tblPr>
        <w:tblStyle w:val="Tabellrutnt"/>
        <w:tblW w:w="9067" w:type="dxa"/>
        <w:tblLook w:val="04A0" w:firstRow="1" w:lastRow="0" w:firstColumn="1" w:lastColumn="0" w:noHBand="0" w:noVBand="1"/>
      </w:tblPr>
      <w:tblGrid>
        <w:gridCol w:w="3963"/>
        <w:gridCol w:w="5104"/>
      </w:tblGrid>
      <w:tr w:rsidR="00BB6F01" w:rsidRPr="00DB6BAB" w14:paraId="5CD933EB" w14:textId="77777777" w:rsidTr="001B3711">
        <w:trPr>
          <w:cnfStyle w:val="100000000000" w:firstRow="1" w:lastRow="0" w:firstColumn="0" w:lastColumn="0" w:oddVBand="0" w:evenVBand="0" w:oddHBand="0" w:evenHBand="0" w:firstRowFirstColumn="0" w:firstRowLastColumn="0" w:lastRowFirstColumn="0" w:lastRowLastColumn="0"/>
        </w:trPr>
        <w:tc>
          <w:tcPr>
            <w:tcW w:w="3963" w:type="dxa"/>
          </w:tcPr>
          <w:p w14:paraId="34CDE441" w14:textId="4BD87B90" w:rsidR="00BB6F01" w:rsidRPr="00712713" w:rsidRDefault="00BB6F01" w:rsidP="001B3711">
            <w:pPr>
              <w:spacing w:before="60" w:after="60" w:afterAutospacing="0"/>
              <w:rPr>
                <w:rFonts w:ascii="Arial" w:hAnsi="Arial" w:cs="Arial"/>
                <w:b w:val="0"/>
                <w:bCs/>
                <w:sz w:val="20"/>
                <w:szCs w:val="20"/>
              </w:rPr>
            </w:pPr>
            <w:bookmarkStart w:id="0" w:name="_Hlk106030592"/>
            <w:r>
              <w:rPr>
                <w:rFonts w:ascii="Arial" w:hAnsi="Arial" w:cs="Arial"/>
                <w:bCs/>
                <w:sz w:val="20"/>
                <w:szCs w:val="20"/>
              </w:rPr>
              <w:t>Fokusområde</w:t>
            </w:r>
          </w:p>
        </w:tc>
        <w:tc>
          <w:tcPr>
            <w:tcW w:w="5104" w:type="dxa"/>
          </w:tcPr>
          <w:p w14:paraId="59BA5845" w14:textId="77777777" w:rsidR="00BB6F01" w:rsidRPr="00712713" w:rsidRDefault="00BB6F01" w:rsidP="001B3711">
            <w:pPr>
              <w:spacing w:before="60" w:after="60" w:afterAutospacing="0"/>
              <w:rPr>
                <w:rFonts w:ascii="Arial" w:hAnsi="Arial" w:cs="Arial"/>
                <w:b w:val="0"/>
                <w:bCs/>
                <w:sz w:val="20"/>
                <w:szCs w:val="20"/>
              </w:rPr>
            </w:pPr>
            <w:r w:rsidRPr="00712713">
              <w:rPr>
                <w:rFonts w:ascii="Arial" w:hAnsi="Arial" w:cs="Arial"/>
                <w:bCs/>
                <w:sz w:val="20"/>
                <w:szCs w:val="20"/>
              </w:rPr>
              <w:t>Kommentar/bedömning</w:t>
            </w:r>
          </w:p>
        </w:tc>
      </w:tr>
      <w:tr w:rsidR="00BB6F01" w:rsidRPr="00DB6BAB" w14:paraId="4A6A55F0" w14:textId="77777777" w:rsidTr="001B3711">
        <w:tc>
          <w:tcPr>
            <w:tcW w:w="3963" w:type="dxa"/>
            <w:shd w:val="clear" w:color="auto" w:fill="BEE7FF" w:themeFill="text2" w:themeFillTint="33"/>
            <w:vAlign w:val="center"/>
          </w:tcPr>
          <w:p w14:paraId="13A9AAF2" w14:textId="0C31B318" w:rsidR="00BB6F01" w:rsidRPr="00DB6BAB" w:rsidRDefault="00BB6F01" w:rsidP="001B3711">
            <w:pPr>
              <w:spacing w:before="60" w:after="60" w:afterAutospacing="0"/>
              <w:rPr>
                <w:rFonts w:ascii="Arial" w:hAnsi="Arial" w:cs="Arial"/>
                <w:sz w:val="20"/>
                <w:szCs w:val="20"/>
              </w:rPr>
            </w:pPr>
            <w:r>
              <w:rPr>
                <w:rFonts w:ascii="Arial" w:hAnsi="Arial" w:cs="Arial"/>
                <w:sz w:val="20"/>
                <w:szCs w:val="20"/>
              </w:rPr>
              <w:t>Ökad tydlighet och struktur</w:t>
            </w:r>
          </w:p>
        </w:tc>
        <w:tc>
          <w:tcPr>
            <w:tcW w:w="5104" w:type="dxa"/>
            <w:vAlign w:val="center"/>
          </w:tcPr>
          <w:p w14:paraId="6F0FC0F4" w14:textId="287886C8" w:rsidR="00BB6F01" w:rsidRPr="00DB6BAB" w:rsidRDefault="003113D4" w:rsidP="001B3711">
            <w:pPr>
              <w:spacing w:before="60" w:after="60" w:afterAutospacing="0"/>
              <w:rPr>
                <w:rFonts w:ascii="Arial" w:hAnsi="Arial" w:cs="Arial"/>
                <w:sz w:val="20"/>
                <w:szCs w:val="20"/>
              </w:rPr>
            </w:pPr>
            <w:r>
              <w:rPr>
                <w:rFonts w:ascii="Arial" w:hAnsi="Arial" w:cs="Arial"/>
                <w:sz w:val="20"/>
                <w:szCs w:val="20"/>
              </w:rPr>
              <w:t xml:space="preserve">Området är högst relevant och särskilt insatser </w:t>
            </w:r>
            <w:proofErr w:type="gramStart"/>
            <w:r>
              <w:rPr>
                <w:rFonts w:ascii="Arial" w:hAnsi="Arial" w:cs="Arial"/>
                <w:sz w:val="20"/>
                <w:szCs w:val="20"/>
              </w:rPr>
              <w:t>1.1-1.4</w:t>
            </w:r>
            <w:proofErr w:type="gramEnd"/>
            <w:r>
              <w:rPr>
                <w:rFonts w:ascii="Arial" w:hAnsi="Arial" w:cs="Arial"/>
                <w:sz w:val="20"/>
                <w:szCs w:val="20"/>
              </w:rPr>
              <w:t xml:space="preserve"> bedöms som hjälpsamma ur bolagets perspektiv. </w:t>
            </w:r>
          </w:p>
        </w:tc>
      </w:tr>
      <w:tr w:rsidR="00BB6F01" w:rsidRPr="00DB6BAB" w14:paraId="69FD47A5" w14:textId="77777777" w:rsidTr="001B3711">
        <w:tc>
          <w:tcPr>
            <w:tcW w:w="3963" w:type="dxa"/>
            <w:shd w:val="clear" w:color="auto" w:fill="BEE7FF" w:themeFill="text2" w:themeFillTint="33"/>
            <w:vAlign w:val="center"/>
          </w:tcPr>
          <w:p w14:paraId="6C6FB76B" w14:textId="325128A3" w:rsidR="00BB6F01" w:rsidRPr="00DB6BAB" w:rsidRDefault="00BB6F01" w:rsidP="001B3711">
            <w:pPr>
              <w:spacing w:before="60" w:after="60" w:afterAutospacing="0"/>
              <w:rPr>
                <w:rFonts w:ascii="Arial" w:hAnsi="Arial" w:cs="Arial"/>
                <w:sz w:val="20"/>
                <w:szCs w:val="20"/>
              </w:rPr>
            </w:pPr>
            <w:r>
              <w:rPr>
                <w:rFonts w:ascii="Arial" w:hAnsi="Arial" w:cs="Arial"/>
                <w:sz w:val="20"/>
                <w:szCs w:val="20"/>
              </w:rPr>
              <w:t>Ökad kompetens</w:t>
            </w:r>
          </w:p>
        </w:tc>
        <w:tc>
          <w:tcPr>
            <w:tcW w:w="5104" w:type="dxa"/>
            <w:vAlign w:val="center"/>
          </w:tcPr>
          <w:p w14:paraId="14DC7EE8" w14:textId="3FF81C99" w:rsidR="00BB6F01" w:rsidRPr="00DB6BAB" w:rsidRDefault="003113D4" w:rsidP="001B3711">
            <w:pPr>
              <w:spacing w:before="60" w:after="60" w:afterAutospacing="0"/>
              <w:rPr>
                <w:rFonts w:ascii="Arial" w:hAnsi="Arial" w:cs="Arial"/>
                <w:sz w:val="20"/>
                <w:szCs w:val="20"/>
              </w:rPr>
            </w:pPr>
            <w:r>
              <w:rPr>
                <w:rFonts w:ascii="Arial" w:hAnsi="Arial" w:cs="Arial"/>
                <w:sz w:val="20"/>
                <w:szCs w:val="20"/>
              </w:rPr>
              <w:t xml:space="preserve">Området är relevant, bolaget anser att kompetensutveckling kopplat till försök till extern påverkan på myndighetsbeslut bör särskiljas från kompetensutveckling i sådant som berör den interna kulturen, beslutsprocesser eller arbetssätt. </w:t>
            </w:r>
          </w:p>
        </w:tc>
      </w:tr>
      <w:tr w:rsidR="00BB6F01" w:rsidRPr="00DB6BAB" w14:paraId="08ED7208" w14:textId="77777777" w:rsidTr="001B3711">
        <w:tc>
          <w:tcPr>
            <w:tcW w:w="3963" w:type="dxa"/>
            <w:shd w:val="clear" w:color="auto" w:fill="BEE7FF" w:themeFill="text2" w:themeFillTint="33"/>
            <w:vAlign w:val="center"/>
          </w:tcPr>
          <w:p w14:paraId="71B2FE22" w14:textId="45C372C6" w:rsidR="00BB6F01" w:rsidRPr="00DB6BAB" w:rsidRDefault="00DD3800" w:rsidP="001B3711">
            <w:pPr>
              <w:spacing w:before="60" w:after="60"/>
              <w:rPr>
                <w:rFonts w:ascii="Arial" w:hAnsi="Arial" w:cs="Arial"/>
                <w:sz w:val="20"/>
                <w:szCs w:val="20"/>
              </w:rPr>
            </w:pPr>
            <w:r w:rsidRPr="00DD3800">
              <w:rPr>
                <w:rFonts w:ascii="Arial" w:hAnsi="Arial" w:cs="Arial"/>
                <w:sz w:val="20"/>
                <w:szCs w:val="20"/>
              </w:rPr>
              <w:t>Stärkt ledarskap och organisationskultur</w:t>
            </w:r>
          </w:p>
        </w:tc>
        <w:tc>
          <w:tcPr>
            <w:tcW w:w="5104" w:type="dxa"/>
            <w:vAlign w:val="center"/>
          </w:tcPr>
          <w:p w14:paraId="7ACC412E" w14:textId="5141DEE3" w:rsidR="00BB6F01" w:rsidRPr="00DB6BAB" w:rsidRDefault="003113D4" w:rsidP="001B3711">
            <w:pPr>
              <w:spacing w:before="60" w:after="60"/>
              <w:rPr>
                <w:rFonts w:ascii="Arial" w:hAnsi="Arial" w:cs="Arial"/>
                <w:sz w:val="20"/>
                <w:szCs w:val="20"/>
              </w:rPr>
            </w:pPr>
            <w:r>
              <w:rPr>
                <w:rFonts w:ascii="Arial" w:hAnsi="Arial" w:cs="Arial"/>
                <w:sz w:val="20"/>
                <w:szCs w:val="20"/>
              </w:rPr>
              <w:t>Området är relevant</w:t>
            </w:r>
            <w:r w:rsidR="005571DD">
              <w:rPr>
                <w:rFonts w:ascii="Arial" w:hAnsi="Arial" w:cs="Arial"/>
                <w:sz w:val="20"/>
                <w:szCs w:val="20"/>
              </w:rPr>
              <w:t>,</w:t>
            </w:r>
            <w:r>
              <w:rPr>
                <w:rFonts w:ascii="Arial" w:hAnsi="Arial" w:cs="Arial"/>
                <w:sz w:val="20"/>
                <w:szCs w:val="20"/>
              </w:rPr>
              <w:t xml:space="preserve"> bolaget anser att </w:t>
            </w:r>
            <w:r w:rsidR="005571DD">
              <w:rPr>
                <w:rFonts w:ascii="Arial" w:hAnsi="Arial" w:cs="Arial"/>
                <w:sz w:val="20"/>
                <w:szCs w:val="20"/>
              </w:rPr>
              <w:t xml:space="preserve">handlingsplanen ska fokusera på </w:t>
            </w:r>
            <w:r>
              <w:rPr>
                <w:rFonts w:ascii="Arial" w:hAnsi="Arial" w:cs="Arial"/>
                <w:sz w:val="20"/>
                <w:szCs w:val="20"/>
              </w:rPr>
              <w:t xml:space="preserve">insatser för att stärka </w:t>
            </w:r>
            <w:r>
              <w:rPr>
                <w:rFonts w:ascii="Arial" w:hAnsi="Arial" w:cs="Arial"/>
                <w:sz w:val="20"/>
                <w:szCs w:val="20"/>
              </w:rPr>
              <w:lastRenderedPageBreak/>
              <w:t xml:space="preserve">ledarskapet i att hantera extern påverkan </w:t>
            </w:r>
            <w:r w:rsidR="005571DD">
              <w:rPr>
                <w:rFonts w:ascii="Arial" w:hAnsi="Arial" w:cs="Arial"/>
                <w:sz w:val="20"/>
                <w:szCs w:val="20"/>
              </w:rPr>
              <w:t>kopplat till</w:t>
            </w:r>
            <w:r>
              <w:rPr>
                <w:rFonts w:ascii="Arial" w:hAnsi="Arial" w:cs="Arial"/>
                <w:sz w:val="20"/>
                <w:szCs w:val="20"/>
              </w:rPr>
              <w:t xml:space="preserve"> myndighetsbeslut</w:t>
            </w:r>
            <w:r w:rsidR="005571DD">
              <w:rPr>
                <w:rFonts w:ascii="Arial" w:hAnsi="Arial" w:cs="Arial"/>
                <w:sz w:val="20"/>
                <w:szCs w:val="20"/>
              </w:rPr>
              <w:t xml:space="preserve">. Den bör inte omfatta </w:t>
            </w:r>
            <w:r>
              <w:rPr>
                <w:rFonts w:ascii="Arial" w:hAnsi="Arial" w:cs="Arial"/>
                <w:sz w:val="20"/>
                <w:szCs w:val="20"/>
              </w:rPr>
              <w:t>sådant som i sig ’bara’ är att skapa en sund arbetsplatskultur.</w:t>
            </w:r>
            <w:r w:rsidR="005571DD">
              <w:rPr>
                <w:rFonts w:ascii="Arial" w:hAnsi="Arial" w:cs="Arial"/>
                <w:sz w:val="20"/>
                <w:szCs w:val="20"/>
              </w:rPr>
              <w:t xml:space="preserve"> </w:t>
            </w:r>
            <w:r w:rsidR="00271812">
              <w:rPr>
                <w:rFonts w:ascii="Arial" w:hAnsi="Arial" w:cs="Arial"/>
                <w:sz w:val="20"/>
                <w:szCs w:val="20"/>
              </w:rPr>
              <w:t>Att hålla fast vid f</w:t>
            </w:r>
            <w:r w:rsidR="005571DD">
              <w:rPr>
                <w:rFonts w:ascii="Arial" w:hAnsi="Arial" w:cs="Arial"/>
                <w:sz w:val="20"/>
                <w:szCs w:val="20"/>
              </w:rPr>
              <w:t xml:space="preserve">ortsatt arbete </w:t>
            </w:r>
            <w:r w:rsidR="00271812">
              <w:rPr>
                <w:rFonts w:ascii="Arial" w:hAnsi="Arial" w:cs="Arial"/>
                <w:sz w:val="20"/>
                <w:szCs w:val="20"/>
              </w:rPr>
              <w:t xml:space="preserve">enligt </w:t>
            </w:r>
            <w:r w:rsidR="005571DD">
              <w:rPr>
                <w:rFonts w:ascii="Arial" w:hAnsi="Arial" w:cs="Arial"/>
                <w:sz w:val="20"/>
                <w:szCs w:val="20"/>
              </w:rPr>
              <w:t xml:space="preserve">program för attraktiv arbetsgivare, chefsförsörjningen och gemensamma utbildningsinsatser i redan påbörjade spår vore mer tydligt – de fyra förhållningsätten, chefens tre roller, </w:t>
            </w:r>
            <w:proofErr w:type="spellStart"/>
            <w:r w:rsidR="005571DD">
              <w:rPr>
                <w:rFonts w:ascii="Arial" w:hAnsi="Arial" w:cs="Arial"/>
                <w:sz w:val="20"/>
                <w:szCs w:val="20"/>
              </w:rPr>
              <w:t>etc</w:t>
            </w:r>
            <w:proofErr w:type="spellEnd"/>
            <w:r w:rsidR="005571DD">
              <w:rPr>
                <w:rFonts w:ascii="Arial" w:hAnsi="Arial" w:cs="Arial"/>
                <w:sz w:val="20"/>
                <w:szCs w:val="20"/>
              </w:rPr>
              <w:t xml:space="preserve"> som tas upp är rätt inriktning för att nå en tillitsfull och inkluderande kultur. Förmågan att utöva det önskade ledarskapet och medarbetarskapet behöver organisationen löpande jobba på utifrån så många perspektiv att det snarare blir ett övergripande tema än kraftfullt i en separat handlingsplan. Insatserna </w:t>
            </w:r>
            <w:proofErr w:type="gramStart"/>
            <w:r w:rsidR="005571DD">
              <w:rPr>
                <w:rFonts w:ascii="Arial" w:hAnsi="Arial" w:cs="Arial"/>
                <w:sz w:val="20"/>
                <w:szCs w:val="20"/>
              </w:rPr>
              <w:t>3.1-3.3</w:t>
            </w:r>
            <w:proofErr w:type="gramEnd"/>
            <w:r w:rsidR="005571DD">
              <w:rPr>
                <w:rFonts w:ascii="Arial" w:hAnsi="Arial" w:cs="Arial"/>
                <w:sz w:val="20"/>
                <w:szCs w:val="20"/>
              </w:rPr>
              <w:t xml:space="preserve"> upplevs i viss mån överflödiga eller redan befintliga. </w:t>
            </w:r>
          </w:p>
        </w:tc>
      </w:tr>
      <w:bookmarkEnd w:id="0"/>
    </w:tbl>
    <w:p w14:paraId="646DA649" w14:textId="77777777" w:rsidR="00BB6F01" w:rsidRDefault="00BB6F01" w:rsidP="00DB6BAB">
      <w:pPr>
        <w:rPr>
          <w:rFonts w:ascii="Arial" w:hAnsi="Arial" w:cs="Arial"/>
          <w:sz w:val="20"/>
          <w:szCs w:val="20"/>
        </w:rPr>
      </w:pPr>
    </w:p>
    <w:p w14:paraId="3ABC12D3" w14:textId="77777777" w:rsidR="00BD4B2E" w:rsidRDefault="00BD4B2E" w:rsidP="00DB6BAB">
      <w:pPr>
        <w:rPr>
          <w:rFonts w:ascii="Arial" w:hAnsi="Arial" w:cs="Arial"/>
          <w:sz w:val="20"/>
          <w:szCs w:val="20"/>
        </w:rPr>
      </w:pPr>
    </w:p>
    <w:p w14:paraId="1EEAD811" w14:textId="635FBA39" w:rsidR="00460755" w:rsidRPr="00452724" w:rsidRDefault="007424BD" w:rsidP="00DB6BAB">
      <w:pPr>
        <w:rPr>
          <w:rFonts w:ascii="Arial" w:hAnsi="Arial" w:cs="Arial"/>
          <w:sz w:val="20"/>
          <w:szCs w:val="20"/>
        </w:rPr>
      </w:pPr>
      <w:r w:rsidRPr="00444C63">
        <w:rPr>
          <w:rFonts w:ascii="Arial" w:hAnsi="Arial" w:cs="Arial"/>
          <w:noProof/>
          <w:sz w:val="20"/>
          <w:szCs w:val="20"/>
        </w:rPr>
        <mc:AlternateContent>
          <mc:Choice Requires="wps">
            <w:drawing>
              <wp:anchor distT="45720" distB="45720" distL="114300" distR="114300" simplePos="0" relativeHeight="251658241" behindDoc="1" locked="0" layoutInCell="1" allowOverlap="1" wp14:anchorId="3CF52ED7" wp14:editId="01E419CB">
                <wp:simplePos x="0" y="0"/>
                <wp:positionH relativeFrom="column">
                  <wp:posOffset>-26035</wp:posOffset>
                </wp:positionH>
                <wp:positionV relativeFrom="paragraph">
                  <wp:posOffset>534035</wp:posOffset>
                </wp:positionV>
                <wp:extent cx="5675630" cy="278130"/>
                <wp:effectExtent l="0" t="0" r="20320" b="26670"/>
                <wp:wrapTight wrapText="bothSides">
                  <wp:wrapPolygon edited="0">
                    <wp:start x="0" y="0"/>
                    <wp:lineTo x="0" y="22192"/>
                    <wp:lineTo x="21605" y="22192"/>
                    <wp:lineTo x="21605" y="0"/>
                    <wp:lineTo x="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278130"/>
                        </a:xfrm>
                        <a:prstGeom prst="rect">
                          <a:avLst/>
                        </a:prstGeom>
                        <a:solidFill>
                          <a:srgbClr val="FFFFFF"/>
                        </a:solidFill>
                        <a:ln w="9525">
                          <a:solidFill>
                            <a:srgbClr val="000000"/>
                          </a:solidFill>
                          <a:miter lim="800000"/>
                          <a:headEnd/>
                          <a:tailEnd/>
                        </a:ln>
                      </wps:spPr>
                      <wps:txbx>
                        <w:txbxContent>
                          <w:p w14:paraId="71D71221" w14:textId="083F2A54" w:rsidR="00BD4B2E" w:rsidRPr="00680BE1" w:rsidRDefault="00680BE1" w:rsidP="00BD4B2E">
                            <w:pPr>
                              <w:rPr>
                                <w:rFonts w:ascii="Arial" w:hAnsi="Arial" w:cs="Arial"/>
                                <w:sz w:val="20"/>
                                <w:szCs w:val="20"/>
                              </w:rPr>
                            </w:pPr>
                            <w:r w:rsidRPr="00680BE1">
                              <w:rPr>
                                <w:rFonts w:ascii="Arial" w:hAnsi="Arial" w:cs="Arial"/>
                                <w:sz w:val="20"/>
                                <w:szCs w:val="20"/>
                              </w:rPr>
                              <w:t xml:space="preserve">Bolaget har inga ytterligare </w:t>
                            </w:r>
                            <w:r w:rsidRPr="00680BE1">
                              <w:rPr>
                                <w:rFonts w:ascii="Arial" w:hAnsi="Arial" w:cs="Arial"/>
                                <w:sz w:val="20"/>
                                <w:szCs w:val="20"/>
                              </w:rPr>
                              <w:t>förslag</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2ED7" id="_x0000_s1027" type="#_x0000_t202" style="position:absolute;margin-left:-2.05pt;margin-top:42.05pt;width:446.9pt;height:21.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pAEQIAACY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">
                <v:textbox>
                  <w:txbxContent>
                    <w:p w14:paraId="71D71221" w14:textId="083F2A54" w:rsidR="00BD4B2E" w:rsidRPr="00680BE1" w:rsidRDefault="00680BE1" w:rsidP="00BD4B2E">
                      <w:pPr>
                        <w:rPr>
                          <w:rFonts w:ascii="Arial" w:hAnsi="Arial" w:cs="Arial"/>
                          <w:sz w:val="20"/>
                          <w:szCs w:val="20"/>
                        </w:rPr>
                      </w:pPr>
                      <w:r w:rsidRPr="00680BE1">
                        <w:rPr>
                          <w:rFonts w:ascii="Arial" w:hAnsi="Arial" w:cs="Arial"/>
                          <w:sz w:val="20"/>
                          <w:szCs w:val="20"/>
                        </w:rPr>
                        <w:t xml:space="preserve">Bolaget har inga ytterligare </w:t>
                      </w:r>
                      <w:r w:rsidRPr="00680BE1">
                        <w:rPr>
                          <w:rFonts w:ascii="Arial" w:hAnsi="Arial" w:cs="Arial"/>
                          <w:sz w:val="20"/>
                          <w:szCs w:val="20"/>
                        </w:rPr>
                        <w:t>förslag</w:t>
                      </w:r>
                      <w:r>
                        <w:rPr>
                          <w:rFonts w:ascii="Arial" w:hAnsi="Arial" w:cs="Arial"/>
                          <w:sz w:val="20"/>
                          <w:szCs w:val="20"/>
                        </w:rPr>
                        <w:t>.</w:t>
                      </w:r>
                    </w:p>
                  </w:txbxContent>
                </v:textbox>
                <w10:wrap type="tight"/>
              </v:shape>
            </w:pict>
          </mc:Fallback>
        </mc:AlternateContent>
      </w:r>
      <w:r w:rsidR="00BD4B2E" w:rsidRPr="00452724">
        <w:rPr>
          <w:rFonts w:ascii="Arial" w:hAnsi="Arial" w:cs="Arial"/>
          <w:sz w:val="20"/>
          <w:szCs w:val="20"/>
        </w:rPr>
        <w:t xml:space="preserve">Finns det </w:t>
      </w:r>
      <w:r w:rsidR="00452724">
        <w:rPr>
          <w:rFonts w:ascii="Arial" w:hAnsi="Arial" w:cs="Arial"/>
          <w:sz w:val="20"/>
          <w:szCs w:val="20"/>
        </w:rPr>
        <w:t xml:space="preserve">ytterligare </w:t>
      </w:r>
      <w:r w:rsidR="00BD4B2E" w:rsidRPr="00452724">
        <w:rPr>
          <w:rFonts w:ascii="Arial" w:hAnsi="Arial" w:cs="Arial"/>
          <w:sz w:val="20"/>
          <w:szCs w:val="20"/>
        </w:rPr>
        <w:t xml:space="preserve">relevanta insatser </w:t>
      </w:r>
      <w:r w:rsidR="006529F3">
        <w:rPr>
          <w:rFonts w:ascii="Arial" w:hAnsi="Arial" w:cs="Arial"/>
          <w:sz w:val="20"/>
          <w:szCs w:val="20"/>
        </w:rPr>
        <w:t xml:space="preserve">på hela staden nivå </w:t>
      </w:r>
      <w:r w:rsidR="00BD4B2E" w:rsidRPr="00452724">
        <w:rPr>
          <w:rFonts w:ascii="Arial" w:hAnsi="Arial" w:cs="Arial"/>
          <w:sz w:val="20"/>
          <w:szCs w:val="20"/>
        </w:rPr>
        <w:t xml:space="preserve">som </w:t>
      </w:r>
      <w:r w:rsidR="00353E80">
        <w:rPr>
          <w:rFonts w:ascii="Arial" w:hAnsi="Arial" w:cs="Arial"/>
          <w:sz w:val="20"/>
          <w:szCs w:val="20"/>
        </w:rPr>
        <w:t xml:space="preserve">borde prioriteras i </w:t>
      </w:r>
      <w:r w:rsidR="00BD4B2E" w:rsidRPr="00452724">
        <w:rPr>
          <w:rFonts w:ascii="Arial" w:hAnsi="Arial" w:cs="Arial"/>
          <w:sz w:val="20"/>
          <w:szCs w:val="20"/>
        </w:rPr>
        <w:t>handlingsplanen för att motverka tystnadskultur?</w:t>
      </w:r>
    </w:p>
    <w:p w14:paraId="6F369150" w14:textId="77777777" w:rsidR="00757E2D" w:rsidRDefault="00757E2D" w:rsidP="00DB6BAB">
      <w:pPr>
        <w:rPr>
          <w:rFonts w:ascii="Arial" w:hAnsi="Arial" w:cs="Arial"/>
          <w:sz w:val="20"/>
          <w:szCs w:val="20"/>
        </w:rPr>
      </w:pPr>
    </w:p>
    <w:p w14:paraId="78454D18" w14:textId="595376AA" w:rsidR="00C56599" w:rsidRDefault="008160A2" w:rsidP="00DB6BAB">
      <w:pPr>
        <w:rPr>
          <w:rFonts w:ascii="Arial" w:hAnsi="Arial" w:cs="Arial"/>
          <w:sz w:val="20"/>
          <w:szCs w:val="20"/>
        </w:rPr>
      </w:pPr>
      <w:r>
        <w:rPr>
          <w:rFonts w:ascii="Arial" w:hAnsi="Arial" w:cs="Arial"/>
          <w:sz w:val="20"/>
          <w:szCs w:val="20"/>
        </w:rPr>
        <w:t xml:space="preserve">Hur ser ni på möjligheten till en strukturerad och systematisk uppföljning av </w:t>
      </w:r>
      <w:r w:rsidR="00FA6953">
        <w:rPr>
          <w:rFonts w:ascii="Arial" w:hAnsi="Arial" w:cs="Arial"/>
          <w:sz w:val="20"/>
          <w:szCs w:val="20"/>
        </w:rPr>
        <w:t>handlingsplanens mål och insatser?</w:t>
      </w:r>
      <w:r w:rsidR="00895912">
        <w:rPr>
          <w:rFonts w:ascii="Arial" w:hAnsi="Arial" w:cs="Arial"/>
          <w:sz w:val="20"/>
          <w:szCs w:val="20"/>
        </w:rPr>
        <w:t xml:space="preserve"> </w:t>
      </w:r>
      <w:r w:rsidR="00EB5967">
        <w:rPr>
          <w:rFonts w:ascii="Arial" w:hAnsi="Arial" w:cs="Arial"/>
          <w:sz w:val="20"/>
          <w:szCs w:val="20"/>
        </w:rPr>
        <w:t>Förfogar er verksamhet över relevanta indikatorer och nyckeltal för att följa utvecklingen</w:t>
      </w:r>
      <w:r w:rsidR="00EB494F">
        <w:rPr>
          <w:rFonts w:ascii="Arial" w:hAnsi="Arial" w:cs="Arial"/>
          <w:sz w:val="20"/>
          <w:szCs w:val="20"/>
        </w:rPr>
        <w:t xml:space="preserve"> i er verksamhet eller staden som helhet</w:t>
      </w:r>
      <w:r w:rsidR="00EB5967">
        <w:rPr>
          <w:rFonts w:ascii="Arial" w:hAnsi="Arial" w:cs="Arial"/>
          <w:sz w:val="20"/>
          <w:szCs w:val="20"/>
        </w:rPr>
        <w:t>?</w:t>
      </w:r>
    </w:p>
    <w:tbl>
      <w:tblPr>
        <w:tblStyle w:val="Tabellrutnt"/>
        <w:tblW w:w="9067" w:type="dxa"/>
        <w:tblLook w:val="04A0" w:firstRow="1" w:lastRow="0" w:firstColumn="1" w:lastColumn="0" w:noHBand="0" w:noVBand="1"/>
      </w:tblPr>
      <w:tblGrid>
        <w:gridCol w:w="3963"/>
        <w:gridCol w:w="5104"/>
      </w:tblGrid>
      <w:tr w:rsidR="00FA6953" w:rsidRPr="00DB6BAB" w14:paraId="23635704" w14:textId="77777777" w:rsidTr="001B3711">
        <w:trPr>
          <w:cnfStyle w:val="100000000000" w:firstRow="1" w:lastRow="0" w:firstColumn="0" w:lastColumn="0" w:oddVBand="0" w:evenVBand="0" w:oddHBand="0" w:evenHBand="0" w:firstRowFirstColumn="0" w:firstRowLastColumn="0" w:lastRowFirstColumn="0" w:lastRowLastColumn="0"/>
        </w:trPr>
        <w:tc>
          <w:tcPr>
            <w:tcW w:w="3963" w:type="dxa"/>
          </w:tcPr>
          <w:p w14:paraId="617E7695" w14:textId="77777777" w:rsidR="00FA6953" w:rsidRPr="00712713" w:rsidRDefault="00FA6953" w:rsidP="001B3711">
            <w:pPr>
              <w:spacing w:before="60" w:after="60" w:afterAutospacing="0"/>
              <w:rPr>
                <w:rFonts w:ascii="Arial" w:hAnsi="Arial" w:cs="Arial"/>
                <w:b w:val="0"/>
                <w:bCs/>
                <w:sz w:val="20"/>
                <w:szCs w:val="20"/>
              </w:rPr>
            </w:pPr>
            <w:r>
              <w:rPr>
                <w:rFonts w:ascii="Arial" w:hAnsi="Arial" w:cs="Arial"/>
                <w:bCs/>
                <w:sz w:val="20"/>
                <w:szCs w:val="20"/>
              </w:rPr>
              <w:t>Fokusområde</w:t>
            </w:r>
          </w:p>
        </w:tc>
        <w:tc>
          <w:tcPr>
            <w:tcW w:w="5104" w:type="dxa"/>
          </w:tcPr>
          <w:p w14:paraId="4B980E24" w14:textId="77777777" w:rsidR="00FA6953" w:rsidRPr="00712713" w:rsidRDefault="00FA6953" w:rsidP="001B3711">
            <w:pPr>
              <w:spacing w:before="60" w:after="60" w:afterAutospacing="0"/>
              <w:rPr>
                <w:rFonts w:ascii="Arial" w:hAnsi="Arial" w:cs="Arial"/>
                <w:b w:val="0"/>
                <w:bCs/>
                <w:sz w:val="20"/>
                <w:szCs w:val="20"/>
              </w:rPr>
            </w:pPr>
            <w:r w:rsidRPr="00712713">
              <w:rPr>
                <w:rFonts w:ascii="Arial" w:hAnsi="Arial" w:cs="Arial"/>
                <w:bCs/>
                <w:sz w:val="20"/>
                <w:szCs w:val="20"/>
              </w:rPr>
              <w:t>Kommentar/bedömning</w:t>
            </w:r>
          </w:p>
        </w:tc>
      </w:tr>
      <w:tr w:rsidR="00FA6953" w:rsidRPr="00DB6BAB" w14:paraId="7F7F41DD" w14:textId="77777777" w:rsidTr="001B3711">
        <w:tc>
          <w:tcPr>
            <w:tcW w:w="3963" w:type="dxa"/>
            <w:shd w:val="clear" w:color="auto" w:fill="BEE7FF" w:themeFill="text2" w:themeFillTint="33"/>
            <w:vAlign w:val="center"/>
          </w:tcPr>
          <w:p w14:paraId="350E096C" w14:textId="77777777" w:rsidR="00FA6953" w:rsidRPr="00DB6BAB" w:rsidRDefault="00FA6953" w:rsidP="001B3711">
            <w:pPr>
              <w:spacing w:before="60" w:after="60" w:afterAutospacing="0"/>
              <w:rPr>
                <w:rFonts w:ascii="Arial" w:hAnsi="Arial" w:cs="Arial"/>
                <w:sz w:val="20"/>
                <w:szCs w:val="20"/>
              </w:rPr>
            </w:pPr>
            <w:r>
              <w:rPr>
                <w:rFonts w:ascii="Arial" w:hAnsi="Arial" w:cs="Arial"/>
                <w:sz w:val="20"/>
                <w:szCs w:val="20"/>
              </w:rPr>
              <w:t>Ökad tydlighet och struktur</w:t>
            </w:r>
          </w:p>
        </w:tc>
        <w:tc>
          <w:tcPr>
            <w:tcW w:w="5104" w:type="dxa"/>
            <w:vAlign w:val="center"/>
          </w:tcPr>
          <w:p w14:paraId="768C4D52" w14:textId="0D942424" w:rsidR="00FA6953" w:rsidRPr="00DB6BAB" w:rsidRDefault="00B92AA3" w:rsidP="001B3711">
            <w:pPr>
              <w:spacing w:before="60" w:after="60" w:afterAutospacing="0"/>
              <w:rPr>
                <w:rFonts w:ascii="Arial" w:hAnsi="Arial" w:cs="Arial"/>
                <w:sz w:val="20"/>
                <w:szCs w:val="20"/>
              </w:rPr>
            </w:pPr>
            <w:r>
              <w:rPr>
                <w:rFonts w:ascii="Arial" w:hAnsi="Arial" w:cs="Arial"/>
                <w:sz w:val="20"/>
                <w:szCs w:val="20"/>
              </w:rPr>
              <w:t xml:space="preserve">Bolaget ser att det är möjligt att följa upp de indikatorer som föreslås i handlingsplanen. </w:t>
            </w:r>
          </w:p>
        </w:tc>
      </w:tr>
      <w:tr w:rsidR="00FA6953" w:rsidRPr="00DB6BAB" w14:paraId="2DE42764" w14:textId="77777777" w:rsidTr="001B3711">
        <w:tc>
          <w:tcPr>
            <w:tcW w:w="3963" w:type="dxa"/>
            <w:shd w:val="clear" w:color="auto" w:fill="BEE7FF" w:themeFill="text2" w:themeFillTint="33"/>
            <w:vAlign w:val="center"/>
          </w:tcPr>
          <w:p w14:paraId="500EBDE2" w14:textId="77777777" w:rsidR="00FA6953" w:rsidRPr="00DB6BAB" w:rsidRDefault="00FA6953" w:rsidP="001B3711">
            <w:pPr>
              <w:spacing w:before="60" w:after="60" w:afterAutospacing="0"/>
              <w:rPr>
                <w:rFonts w:ascii="Arial" w:hAnsi="Arial" w:cs="Arial"/>
                <w:sz w:val="20"/>
                <w:szCs w:val="20"/>
              </w:rPr>
            </w:pPr>
            <w:r>
              <w:rPr>
                <w:rFonts w:ascii="Arial" w:hAnsi="Arial" w:cs="Arial"/>
                <w:sz w:val="20"/>
                <w:szCs w:val="20"/>
              </w:rPr>
              <w:t>Ökad kompetens</w:t>
            </w:r>
          </w:p>
        </w:tc>
        <w:tc>
          <w:tcPr>
            <w:tcW w:w="5104" w:type="dxa"/>
            <w:vAlign w:val="center"/>
          </w:tcPr>
          <w:p w14:paraId="60977804" w14:textId="2F4793E6" w:rsidR="00FA6953" w:rsidRPr="00DB6BAB" w:rsidRDefault="00B92AA3" w:rsidP="001B3711">
            <w:pPr>
              <w:spacing w:before="60" w:after="60" w:afterAutospacing="0"/>
              <w:rPr>
                <w:rFonts w:ascii="Arial" w:hAnsi="Arial" w:cs="Arial"/>
                <w:sz w:val="20"/>
                <w:szCs w:val="20"/>
              </w:rPr>
            </w:pPr>
            <w:r>
              <w:rPr>
                <w:rFonts w:ascii="Arial" w:hAnsi="Arial" w:cs="Arial"/>
                <w:sz w:val="20"/>
                <w:szCs w:val="20"/>
              </w:rPr>
              <w:t>Bolaget ser att det är möjligt att följa upp de indikatorer som föreslås i handlingsplanen.</w:t>
            </w:r>
          </w:p>
        </w:tc>
      </w:tr>
      <w:tr w:rsidR="00FA6953" w:rsidRPr="00DB6BAB" w14:paraId="0C0E881B" w14:textId="77777777" w:rsidTr="001B3711">
        <w:tc>
          <w:tcPr>
            <w:tcW w:w="3963" w:type="dxa"/>
            <w:shd w:val="clear" w:color="auto" w:fill="BEE7FF" w:themeFill="text2" w:themeFillTint="33"/>
            <w:vAlign w:val="center"/>
          </w:tcPr>
          <w:p w14:paraId="24C7FD6C" w14:textId="77777777" w:rsidR="00FA6953" w:rsidRPr="00DB6BAB" w:rsidRDefault="00FA6953" w:rsidP="001B3711">
            <w:pPr>
              <w:spacing w:before="60" w:after="60"/>
              <w:rPr>
                <w:rFonts w:ascii="Arial" w:hAnsi="Arial" w:cs="Arial"/>
                <w:sz w:val="20"/>
                <w:szCs w:val="20"/>
              </w:rPr>
            </w:pPr>
            <w:r w:rsidRPr="00DD3800">
              <w:rPr>
                <w:rFonts w:ascii="Arial" w:hAnsi="Arial" w:cs="Arial"/>
                <w:sz w:val="20"/>
                <w:szCs w:val="20"/>
              </w:rPr>
              <w:t>Stärkt ledarskap och organisationskultur</w:t>
            </w:r>
          </w:p>
        </w:tc>
        <w:tc>
          <w:tcPr>
            <w:tcW w:w="5104" w:type="dxa"/>
            <w:vAlign w:val="center"/>
          </w:tcPr>
          <w:p w14:paraId="2751E6C3" w14:textId="6801A788" w:rsidR="00FA6953" w:rsidRPr="00DB6BAB" w:rsidRDefault="00B92AA3" w:rsidP="001B3711">
            <w:pPr>
              <w:spacing w:before="60" w:after="60"/>
              <w:rPr>
                <w:rFonts w:ascii="Arial" w:hAnsi="Arial" w:cs="Arial"/>
                <w:sz w:val="20"/>
                <w:szCs w:val="20"/>
              </w:rPr>
            </w:pPr>
            <w:r>
              <w:rPr>
                <w:rFonts w:ascii="Arial" w:hAnsi="Arial" w:cs="Arial"/>
                <w:sz w:val="20"/>
                <w:szCs w:val="20"/>
              </w:rPr>
              <w:t>Bolaget ser att det är möjligt att följa upp de indikatorer som föreslås i handlingsplanen.</w:t>
            </w:r>
          </w:p>
        </w:tc>
      </w:tr>
    </w:tbl>
    <w:p w14:paraId="6E412823" w14:textId="723445FE" w:rsidR="00C56599" w:rsidRDefault="00C56599" w:rsidP="00DB6BAB">
      <w:pPr>
        <w:rPr>
          <w:rFonts w:ascii="Arial" w:hAnsi="Arial" w:cs="Arial"/>
          <w:sz w:val="20"/>
          <w:szCs w:val="20"/>
        </w:rPr>
      </w:pPr>
    </w:p>
    <w:p w14:paraId="5A6E1962" w14:textId="6DAC4F46" w:rsidR="0069725F" w:rsidRDefault="0069725F" w:rsidP="00DB6BAB">
      <w:pPr>
        <w:rPr>
          <w:rFonts w:ascii="Arial" w:hAnsi="Arial" w:cs="Arial"/>
          <w:sz w:val="20"/>
          <w:szCs w:val="20"/>
        </w:rPr>
      </w:pPr>
      <w:r>
        <w:rPr>
          <w:rFonts w:ascii="Arial" w:hAnsi="Arial" w:cs="Arial"/>
          <w:sz w:val="20"/>
          <w:szCs w:val="20"/>
        </w:rPr>
        <w:t xml:space="preserve">Hur ser ni på de ekonomiska möjligheterna att arbeta i enlighet med handlingsplanens </w:t>
      </w:r>
      <w:r w:rsidR="00797888">
        <w:rPr>
          <w:rFonts w:ascii="Arial" w:hAnsi="Arial" w:cs="Arial"/>
          <w:sz w:val="20"/>
          <w:szCs w:val="20"/>
        </w:rPr>
        <w:t>insatser?</w:t>
      </w:r>
      <w:r w:rsidR="00CF61F7">
        <w:rPr>
          <w:rFonts w:ascii="Arial" w:hAnsi="Arial" w:cs="Arial"/>
          <w:sz w:val="20"/>
          <w:szCs w:val="20"/>
        </w:rPr>
        <w:t xml:space="preserve"> </w:t>
      </w:r>
      <w:r w:rsidR="00417141">
        <w:rPr>
          <w:rFonts w:ascii="Arial" w:hAnsi="Arial" w:cs="Arial"/>
          <w:sz w:val="20"/>
          <w:szCs w:val="20"/>
        </w:rPr>
        <w:t>Vilka insatser bedömer ni inte har någon nämnvärd kost</w:t>
      </w:r>
      <w:r w:rsidR="002158AD">
        <w:rPr>
          <w:rFonts w:ascii="Arial" w:hAnsi="Arial" w:cs="Arial"/>
          <w:sz w:val="20"/>
          <w:szCs w:val="20"/>
        </w:rPr>
        <w:t>n</w:t>
      </w:r>
      <w:r w:rsidR="00417141">
        <w:rPr>
          <w:rFonts w:ascii="Arial" w:hAnsi="Arial" w:cs="Arial"/>
          <w:sz w:val="20"/>
          <w:szCs w:val="20"/>
        </w:rPr>
        <w:t>adspåverkan eller kan rymmas genom omprioriteringar?</w:t>
      </w:r>
      <w:r w:rsidR="00344D3C">
        <w:rPr>
          <w:rFonts w:ascii="Arial" w:hAnsi="Arial" w:cs="Arial"/>
          <w:sz w:val="20"/>
          <w:szCs w:val="20"/>
        </w:rPr>
        <w:t xml:space="preserve"> Vilka insatser bedömer ni kräver resurstillskott för att kunna genomföras? Ange om det är frågan om engångskostnader </w:t>
      </w:r>
      <w:r w:rsidR="009F0E96">
        <w:rPr>
          <w:rFonts w:ascii="Arial" w:hAnsi="Arial" w:cs="Arial"/>
          <w:sz w:val="20"/>
          <w:szCs w:val="20"/>
        </w:rPr>
        <w:t xml:space="preserve">eller </w:t>
      </w:r>
      <w:r w:rsidR="00F42AF0">
        <w:rPr>
          <w:rFonts w:ascii="Arial" w:hAnsi="Arial" w:cs="Arial"/>
          <w:sz w:val="20"/>
          <w:szCs w:val="20"/>
        </w:rPr>
        <w:t>permanent nivåhöjning?</w:t>
      </w:r>
      <w:r w:rsidR="002158AD">
        <w:rPr>
          <w:rFonts w:ascii="Arial" w:hAnsi="Arial" w:cs="Arial"/>
          <w:sz w:val="20"/>
          <w:szCs w:val="20"/>
        </w:rPr>
        <w:t xml:space="preserve"> Ange</w:t>
      </w:r>
      <w:r w:rsidR="00B64775">
        <w:rPr>
          <w:rFonts w:ascii="Arial" w:hAnsi="Arial" w:cs="Arial"/>
          <w:sz w:val="20"/>
          <w:szCs w:val="20"/>
        </w:rPr>
        <w:t xml:space="preserve"> ungefärliga</w:t>
      </w:r>
      <w:r w:rsidR="002158AD">
        <w:rPr>
          <w:rFonts w:ascii="Arial" w:hAnsi="Arial" w:cs="Arial"/>
          <w:sz w:val="20"/>
          <w:szCs w:val="20"/>
        </w:rPr>
        <w:t xml:space="preserve"> belopp. </w:t>
      </w:r>
    </w:p>
    <w:tbl>
      <w:tblPr>
        <w:tblStyle w:val="Tabellrutnt"/>
        <w:tblW w:w="9067" w:type="dxa"/>
        <w:tblLook w:val="04A0" w:firstRow="1" w:lastRow="0" w:firstColumn="1" w:lastColumn="0" w:noHBand="0" w:noVBand="1"/>
      </w:tblPr>
      <w:tblGrid>
        <w:gridCol w:w="3963"/>
        <w:gridCol w:w="5104"/>
      </w:tblGrid>
      <w:tr w:rsidR="00797888" w:rsidRPr="00DB6BAB" w14:paraId="535C20EB" w14:textId="77777777" w:rsidTr="001B3711">
        <w:trPr>
          <w:cnfStyle w:val="100000000000" w:firstRow="1" w:lastRow="0" w:firstColumn="0" w:lastColumn="0" w:oddVBand="0" w:evenVBand="0" w:oddHBand="0" w:evenHBand="0" w:firstRowFirstColumn="0" w:firstRowLastColumn="0" w:lastRowFirstColumn="0" w:lastRowLastColumn="0"/>
        </w:trPr>
        <w:tc>
          <w:tcPr>
            <w:tcW w:w="3963" w:type="dxa"/>
          </w:tcPr>
          <w:p w14:paraId="7D2D2991" w14:textId="77777777" w:rsidR="00797888" w:rsidRPr="00712713" w:rsidRDefault="00797888" w:rsidP="001B3711">
            <w:pPr>
              <w:spacing w:before="60" w:after="60" w:afterAutospacing="0"/>
              <w:rPr>
                <w:rFonts w:ascii="Arial" w:hAnsi="Arial" w:cs="Arial"/>
                <w:b w:val="0"/>
                <w:bCs/>
                <w:sz w:val="20"/>
                <w:szCs w:val="20"/>
              </w:rPr>
            </w:pPr>
            <w:r>
              <w:rPr>
                <w:rFonts w:ascii="Arial" w:hAnsi="Arial" w:cs="Arial"/>
                <w:bCs/>
                <w:sz w:val="20"/>
                <w:szCs w:val="20"/>
              </w:rPr>
              <w:t>Fokusområde</w:t>
            </w:r>
          </w:p>
        </w:tc>
        <w:tc>
          <w:tcPr>
            <w:tcW w:w="5104" w:type="dxa"/>
          </w:tcPr>
          <w:p w14:paraId="48A0940A" w14:textId="77777777" w:rsidR="00797888" w:rsidRPr="00712713" w:rsidRDefault="00797888" w:rsidP="001B3711">
            <w:pPr>
              <w:spacing w:before="60" w:after="60" w:afterAutospacing="0"/>
              <w:rPr>
                <w:rFonts w:ascii="Arial" w:hAnsi="Arial" w:cs="Arial"/>
                <w:b w:val="0"/>
                <w:bCs/>
                <w:sz w:val="20"/>
                <w:szCs w:val="20"/>
              </w:rPr>
            </w:pPr>
            <w:r w:rsidRPr="00712713">
              <w:rPr>
                <w:rFonts w:ascii="Arial" w:hAnsi="Arial" w:cs="Arial"/>
                <w:bCs/>
                <w:sz w:val="20"/>
                <w:szCs w:val="20"/>
              </w:rPr>
              <w:t>Kommentar/bedömning</w:t>
            </w:r>
          </w:p>
        </w:tc>
      </w:tr>
      <w:tr w:rsidR="00797888" w:rsidRPr="00DB6BAB" w14:paraId="7C71C04A" w14:textId="77777777" w:rsidTr="001B3711">
        <w:tc>
          <w:tcPr>
            <w:tcW w:w="3963" w:type="dxa"/>
            <w:shd w:val="clear" w:color="auto" w:fill="BEE7FF" w:themeFill="text2" w:themeFillTint="33"/>
            <w:vAlign w:val="center"/>
          </w:tcPr>
          <w:p w14:paraId="1067B6AF" w14:textId="77777777" w:rsidR="00797888" w:rsidRPr="00DB6BAB" w:rsidRDefault="00797888" w:rsidP="001B3711">
            <w:pPr>
              <w:spacing w:before="60" w:after="60" w:afterAutospacing="0"/>
              <w:rPr>
                <w:rFonts w:ascii="Arial" w:hAnsi="Arial" w:cs="Arial"/>
                <w:sz w:val="20"/>
                <w:szCs w:val="20"/>
              </w:rPr>
            </w:pPr>
            <w:r>
              <w:rPr>
                <w:rFonts w:ascii="Arial" w:hAnsi="Arial" w:cs="Arial"/>
                <w:sz w:val="20"/>
                <w:szCs w:val="20"/>
              </w:rPr>
              <w:t>Ökad tydlighet och struktur</w:t>
            </w:r>
          </w:p>
        </w:tc>
        <w:tc>
          <w:tcPr>
            <w:tcW w:w="5104" w:type="dxa"/>
            <w:vAlign w:val="center"/>
          </w:tcPr>
          <w:p w14:paraId="75D80CD8" w14:textId="2728B501" w:rsidR="00797888" w:rsidRPr="00DB6BAB" w:rsidRDefault="00B92AA3" w:rsidP="001B3711">
            <w:pPr>
              <w:spacing w:before="60" w:after="60" w:afterAutospacing="0"/>
              <w:rPr>
                <w:rFonts w:ascii="Arial" w:hAnsi="Arial" w:cs="Arial"/>
                <w:sz w:val="20"/>
                <w:szCs w:val="20"/>
              </w:rPr>
            </w:pPr>
            <w:r>
              <w:rPr>
                <w:rFonts w:ascii="Arial" w:hAnsi="Arial" w:cs="Arial"/>
                <w:sz w:val="20"/>
                <w:szCs w:val="20"/>
              </w:rPr>
              <w:t xml:space="preserve">Uppföljning i form av rapportering och revision från tillsynsmyndigheter, ägare och beställarorganisationer är redan i dag betungande och bolaget upplever att mycket dubbelarbete utförs. Flera av insatserna i handlingsplanen ligger i linje med befintliga policys och </w:t>
            </w:r>
            <w:r>
              <w:rPr>
                <w:rFonts w:ascii="Arial" w:hAnsi="Arial" w:cs="Arial"/>
                <w:sz w:val="20"/>
                <w:szCs w:val="20"/>
              </w:rPr>
              <w:lastRenderedPageBreak/>
              <w:t>mål. Nytta i förhållande till insats vid mätning måste diskuteras och ny uppföljning hållas till ett minimum.</w:t>
            </w:r>
            <w:r w:rsidR="00461449">
              <w:rPr>
                <w:rFonts w:ascii="Arial" w:hAnsi="Arial" w:cs="Arial"/>
                <w:sz w:val="20"/>
                <w:szCs w:val="20"/>
              </w:rPr>
              <w:t xml:space="preserve"> Det är svårt att säga var</w:t>
            </w:r>
            <w:r w:rsidR="006D54AE">
              <w:rPr>
                <w:rFonts w:ascii="Arial" w:hAnsi="Arial" w:cs="Arial"/>
                <w:sz w:val="20"/>
                <w:szCs w:val="20"/>
              </w:rPr>
              <w:t xml:space="preserve"> trösklar för ökad bemanning går exakt.</w:t>
            </w:r>
            <w:r w:rsidR="00E11829">
              <w:rPr>
                <w:rFonts w:ascii="Arial" w:hAnsi="Arial" w:cs="Arial"/>
                <w:sz w:val="20"/>
                <w:szCs w:val="20"/>
              </w:rPr>
              <w:t xml:space="preserve"> Behov av ökad bemanning i form av stödresurser kan föreligga. </w:t>
            </w:r>
            <w:r w:rsidR="000D6419">
              <w:rPr>
                <w:rFonts w:ascii="Arial" w:hAnsi="Arial" w:cs="Arial"/>
                <w:sz w:val="20"/>
                <w:szCs w:val="20"/>
              </w:rPr>
              <w:t xml:space="preserve">Det rör sig i så fall om en permanent nivåhöjning. </w:t>
            </w:r>
          </w:p>
        </w:tc>
      </w:tr>
      <w:tr w:rsidR="00797888" w:rsidRPr="00DB6BAB" w14:paraId="5DEB73D1" w14:textId="77777777" w:rsidTr="001B3711">
        <w:tc>
          <w:tcPr>
            <w:tcW w:w="3963" w:type="dxa"/>
            <w:shd w:val="clear" w:color="auto" w:fill="BEE7FF" w:themeFill="text2" w:themeFillTint="33"/>
            <w:vAlign w:val="center"/>
          </w:tcPr>
          <w:p w14:paraId="32EAC09C" w14:textId="77777777" w:rsidR="00797888" w:rsidRPr="00DB6BAB" w:rsidRDefault="00797888" w:rsidP="001B3711">
            <w:pPr>
              <w:spacing w:before="60" w:after="60" w:afterAutospacing="0"/>
              <w:rPr>
                <w:rFonts w:ascii="Arial" w:hAnsi="Arial" w:cs="Arial"/>
                <w:sz w:val="20"/>
                <w:szCs w:val="20"/>
              </w:rPr>
            </w:pPr>
            <w:r>
              <w:rPr>
                <w:rFonts w:ascii="Arial" w:hAnsi="Arial" w:cs="Arial"/>
                <w:sz w:val="20"/>
                <w:szCs w:val="20"/>
              </w:rPr>
              <w:lastRenderedPageBreak/>
              <w:t>Ökad kompetens</w:t>
            </w:r>
          </w:p>
        </w:tc>
        <w:tc>
          <w:tcPr>
            <w:tcW w:w="5104" w:type="dxa"/>
            <w:vAlign w:val="center"/>
          </w:tcPr>
          <w:p w14:paraId="72EBDF89" w14:textId="57BF49D8" w:rsidR="00797888" w:rsidRPr="00DB6BAB" w:rsidRDefault="00271812" w:rsidP="001B3711">
            <w:pPr>
              <w:spacing w:before="60" w:after="60" w:afterAutospacing="0"/>
              <w:rPr>
                <w:rFonts w:ascii="Arial" w:hAnsi="Arial" w:cs="Arial"/>
                <w:sz w:val="20"/>
                <w:szCs w:val="20"/>
              </w:rPr>
            </w:pPr>
            <w:r>
              <w:rPr>
                <w:rFonts w:ascii="Arial" w:hAnsi="Arial" w:cs="Arial"/>
                <w:sz w:val="20"/>
                <w:szCs w:val="20"/>
              </w:rPr>
              <w:t>Se ovan</w:t>
            </w:r>
          </w:p>
        </w:tc>
      </w:tr>
      <w:tr w:rsidR="00797888" w:rsidRPr="00DB6BAB" w14:paraId="49047F97" w14:textId="77777777" w:rsidTr="001B3711">
        <w:tc>
          <w:tcPr>
            <w:tcW w:w="3963" w:type="dxa"/>
            <w:shd w:val="clear" w:color="auto" w:fill="BEE7FF" w:themeFill="text2" w:themeFillTint="33"/>
            <w:vAlign w:val="center"/>
          </w:tcPr>
          <w:p w14:paraId="2CC70C3E" w14:textId="77777777" w:rsidR="00797888" w:rsidRPr="00DB6BAB" w:rsidRDefault="00797888" w:rsidP="001B3711">
            <w:pPr>
              <w:spacing w:before="60" w:after="60"/>
              <w:rPr>
                <w:rFonts w:ascii="Arial" w:hAnsi="Arial" w:cs="Arial"/>
                <w:sz w:val="20"/>
                <w:szCs w:val="20"/>
              </w:rPr>
            </w:pPr>
            <w:r w:rsidRPr="00DD3800">
              <w:rPr>
                <w:rFonts w:ascii="Arial" w:hAnsi="Arial" w:cs="Arial"/>
                <w:sz w:val="20"/>
                <w:szCs w:val="20"/>
              </w:rPr>
              <w:t>Stärkt ledarskap och organisationskultur</w:t>
            </w:r>
          </w:p>
        </w:tc>
        <w:tc>
          <w:tcPr>
            <w:tcW w:w="5104" w:type="dxa"/>
            <w:vAlign w:val="center"/>
          </w:tcPr>
          <w:p w14:paraId="6B2D6EE7" w14:textId="559C5393" w:rsidR="00797888" w:rsidRPr="00DB6BAB" w:rsidRDefault="00271812" w:rsidP="001B3711">
            <w:pPr>
              <w:spacing w:before="60" w:after="60"/>
              <w:rPr>
                <w:rFonts w:ascii="Arial" w:hAnsi="Arial" w:cs="Arial"/>
                <w:sz w:val="20"/>
                <w:szCs w:val="20"/>
              </w:rPr>
            </w:pPr>
            <w:r>
              <w:rPr>
                <w:rFonts w:ascii="Arial" w:hAnsi="Arial" w:cs="Arial"/>
                <w:sz w:val="20"/>
                <w:szCs w:val="20"/>
              </w:rPr>
              <w:t>Se ovan</w:t>
            </w:r>
          </w:p>
        </w:tc>
      </w:tr>
    </w:tbl>
    <w:p w14:paraId="505F7039" w14:textId="72764532" w:rsidR="00EF3693" w:rsidRPr="00DB6BAB" w:rsidRDefault="00EF3693" w:rsidP="00DB6BAB">
      <w:pPr>
        <w:rPr>
          <w:rFonts w:ascii="Arial" w:hAnsi="Arial" w:cs="Arial"/>
          <w:sz w:val="20"/>
          <w:szCs w:val="20"/>
        </w:rPr>
      </w:pPr>
    </w:p>
    <w:p w14:paraId="6D852AE5" w14:textId="30A23B48" w:rsidR="00DF3535" w:rsidRPr="00757E2D" w:rsidRDefault="004A32E7" w:rsidP="00986A1D">
      <w:pPr>
        <w:rPr>
          <w:rFonts w:asciiTheme="majorHAnsi" w:hAnsiTheme="majorHAnsi" w:cstheme="majorHAnsi"/>
          <w:sz w:val="20"/>
          <w:szCs w:val="20"/>
        </w:rPr>
      </w:pPr>
      <w:r w:rsidRPr="00757E2D">
        <w:rPr>
          <w:rFonts w:asciiTheme="majorHAnsi" w:hAnsiTheme="majorHAnsi" w:cstheme="majorHAnsi"/>
          <w:noProof/>
          <w:sz w:val="20"/>
          <w:szCs w:val="20"/>
        </w:rPr>
        <mc:AlternateContent>
          <mc:Choice Requires="wps">
            <w:drawing>
              <wp:anchor distT="45720" distB="45720" distL="114300" distR="114300" simplePos="0" relativeHeight="251658242" behindDoc="1" locked="0" layoutInCell="1" allowOverlap="1" wp14:anchorId="02CD32EC" wp14:editId="2F669ABC">
                <wp:simplePos x="0" y="0"/>
                <wp:positionH relativeFrom="margin">
                  <wp:align>left</wp:align>
                </wp:positionH>
                <wp:positionV relativeFrom="paragraph">
                  <wp:posOffset>238760</wp:posOffset>
                </wp:positionV>
                <wp:extent cx="5675630" cy="1876425"/>
                <wp:effectExtent l="0" t="0" r="20320" b="28575"/>
                <wp:wrapTight wrapText="bothSides">
                  <wp:wrapPolygon edited="0">
                    <wp:start x="0" y="0"/>
                    <wp:lineTo x="0" y="21710"/>
                    <wp:lineTo x="21605" y="21710"/>
                    <wp:lineTo x="21605" y="0"/>
                    <wp:lineTo x="0" y="0"/>
                  </wp:wrapPolygon>
                </wp:wrapTight>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876507"/>
                        </a:xfrm>
                        <a:prstGeom prst="rect">
                          <a:avLst/>
                        </a:prstGeom>
                        <a:solidFill>
                          <a:srgbClr val="FFFFFF"/>
                        </a:solidFill>
                        <a:ln w="9525">
                          <a:solidFill>
                            <a:srgbClr val="000000"/>
                          </a:solidFill>
                          <a:miter lim="800000"/>
                          <a:headEnd/>
                          <a:tailEnd/>
                        </a:ln>
                      </wps:spPr>
                      <wps:txbx>
                        <w:txbxContent>
                          <w:p w14:paraId="38C5318D" w14:textId="7152C453" w:rsidR="004A32E7" w:rsidRPr="007C4603" w:rsidRDefault="004A32E7" w:rsidP="004A32E7">
                            <w:pPr>
                              <w:rPr>
                                <w:rFonts w:ascii="Arial" w:hAnsi="Arial" w:cs="Arial"/>
                                <w:sz w:val="20"/>
                                <w:szCs w:val="20"/>
                              </w:rPr>
                            </w:pPr>
                            <w:r w:rsidRPr="007C4603">
                              <w:rPr>
                                <w:rFonts w:ascii="Arial" w:hAnsi="Arial" w:cs="Arial"/>
                                <w:sz w:val="20"/>
                                <w:szCs w:val="20"/>
                              </w:rPr>
                              <w:t xml:space="preserve">Begreppet tystnadskultur är som framgår i materialet odefinierat. Lägesbilden beskriver problem på hela skalan mellan att kriminella element genom hot/våld försöker tillskansa sig fördelar de ej har rätt till och att medarbetare eller chefer känner att det är obehagligt att påtala missförhållanden på arbetsplatsen utan att det ens finns ett verkligt hot om repressalier. </w:t>
                            </w:r>
                          </w:p>
                          <w:p w14:paraId="000AB482" w14:textId="239B4660" w:rsidR="004A32E7" w:rsidRPr="007C4603" w:rsidRDefault="004A32E7" w:rsidP="004A32E7">
                            <w:pPr>
                              <w:rPr>
                                <w:rFonts w:ascii="Arial" w:hAnsi="Arial" w:cs="Arial"/>
                                <w:sz w:val="20"/>
                                <w:szCs w:val="20"/>
                              </w:rPr>
                            </w:pPr>
                            <w:r w:rsidRPr="007C4603">
                              <w:rPr>
                                <w:rFonts w:ascii="Arial" w:hAnsi="Arial" w:cs="Arial"/>
                                <w:sz w:val="20"/>
                                <w:szCs w:val="20"/>
                              </w:rPr>
                              <w:t xml:space="preserve">Genom att definiera begreppet tydligare skulle fortsatt arbete kunna underlättas. Det kunde då också bli klarare vilket problem handlingsplanen ska lösa. Som skrivs i handlingsplanen finns redan i dag ett stort antal dokument och processer som ska säkra till exempel beslut i rekrytering och ett </w:t>
                            </w:r>
                            <w:r w:rsidR="00E34D02" w:rsidRPr="007C4603">
                              <w:rPr>
                                <w:rFonts w:ascii="Arial" w:hAnsi="Arial" w:cs="Arial"/>
                                <w:sz w:val="20"/>
                                <w:szCs w:val="20"/>
                              </w:rPr>
                              <w:t>tillitsbaserat</w:t>
                            </w:r>
                            <w:r w:rsidRPr="007C4603">
                              <w:rPr>
                                <w:rFonts w:ascii="Arial" w:hAnsi="Arial" w:cs="Arial"/>
                                <w:sz w:val="20"/>
                                <w:szCs w:val="20"/>
                              </w:rPr>
                              <w:t xml:space="preserve"> ledarskap på plats. En handlingsplan enbart inriktad på att hantera extern otillåten påverkan i myndighetsbeslut föreslås. Förstärkt uppföljning av interna befintliga policys och rutiner kunde komplettera för det interna perspektivet då de båda är viktiga. </w:t>
                            </w:r>
                          </w:p>
                          <w:p w14:paraId="522CA688" w14:textId="77777777" w:rsidR="00DF3535" w:rsidRDefault="00DF3535" w:rsidP="00DF3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D32EC" id="Textruta 3" o:spid="_x0000_s1028" type="#_x0000_t202" style="position:absolute;margin-left:0;margin-top:18.8pt;width:446.9pt;height:147.75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o4FgIAACcEAAAOAAAAZHJzL2Uyb0RvYy54bWysU81u2zAMvg/YOwi6L3ayOEmNOEWXLsOA&#10;7gdo9wCyLMfCZFGTlNjZ05eS3TTrtsswHQRSpD6SH8n1dd8qchTWSdAFnU5SSoTmUEm9L+i3h92b&#10;F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">
                <v:textbox>
                  <w:txbxContent>
                    <w:p w14:paraId="38C5318D" w14:textId="7152C453" w:rsidR="004A32E7" w:rsidRPr="007C4603" w:rsidRDefault="004A32E7" w:rsidP="004A32E7">
                      <w:pPr>
                        <w:rPr>
                          <w:rFonts w:ascii="Arial" w:hAnsi="Arial" w:cs="Arial"/>
                          <w:sz w:val="20"/>
                          <w:szCs w:val="20"/>
                        </w:rPr>
                      </w:pPr>
                      <w:r w:rsidRPr="007C4603">
                        <w:rPr>
                          <w:rFonts w:ascii="Arial" w:hAnsi="Arial" w:cs="Arial"/>
                          <w:sz w:val="20"/>
                          <w:szCs w:val="20"/>
                        </w:rPr>
                        <w:t xml:space="preserve">Begreppet tystnadskultur är som framgår i materialet odefinierat. Lägesbilden beskriver problem på hela skalan mellan att kriminella element genom hot/våld försöker tillskansa sig fördelar de ej har rätt till och att medarbetare eller chefer känner att det är obehagligt att påtala missförhållanden på arbetsplatsen utan att det ens finns ett verkligt hot om repressalier. </w:t>
                      </w:r>
                    </w:p>
                    <w:p w14:paraId="000AB482" w14:textId="239B4660" w:rsidR="004A32E7" w:rsidRPr="007C4603" w:rsidRDefault="004A32E7" w:rsidP="004A32E7">
                      <w:pPr>
                        <w:rPr>
                          <w:rFonts w:ascii="Arial" w:hAnsi="Arial" w:cs="Arial"/>
                          <w:sz w:val="20"/>
                          <w:szCs w:val="20"/>
                        </w:rPr>
                      </w:pPr>
                      <w:r w:rsidRPr="007C4603">
                        <w:rPr>
                          <w:rFonts w:ascii="Arial" w:hAnsi="Arial" w:cs="Arial"/>
                          <w:sz w:val="20"/>
                          <w:szCs w:val="20"/>
                        </w:rPr>
                        <w:t xml:space="preserve">Genom att definiera begreppet tydligare skulle fortsatt arbete kunna underlättas. Det kunde då också bli klarare vilket problem handlingsplanen ska lösa. Som skrivs i handlingsplanen finns redan i dag ett stort antal dokument och processer som ska säkra till exempel beslut i rekrytering och ett </w:t>
                      </w:r>
                      <w:r w:rsidR="00E34D02" w:rsidRPr="007C4603">
                        <w:rPr>
                          <w:rFonts w:ascii="Arial" w:hAnsi="Arial" w:cs="Arial"/>
                          <w:sz w:val="20"/>
                          <w:szCs w:val="20"/>
                        </w:rPr>
                        <w:t>tillitsbaserat</w:t>
                      </w:r>
                      <w:r w:rsidRPr="007C4603">
                        <w:rPr>
                          <w:rFonts w:ascii="Arial" w:hAnsi="Arial" w:cs="Arial"/>
                          <w:sz w:val="20"/>
                          <w:szCs w:val="20"/>
                        </w:rPr>
                        <w:t xml:space="preserve"> ledarskap på plats. En handlingsplan enbart inriktad på att hantera extern otillåten påverkan i myndighetsbeslut föreslås. Förstärkt uppföljning av interna befintliga policys och rutiner kunde komplettera för det interna perspektivet då de båda är viktiga. </w:t>
                      </w:r>
                    </w:p>
                    <w:p w14:paraId="522CA688" w14:textId="77777777" w:rsidR="00DF3535" w:rsidRDefault="00DF3535" w:rsidP="00DF3535"/>
                  </w:txbxContent>
                </v:textbox>
                <w10:wrap type="tight" anchorx="margin"/>
              </v:shape>
            </w:pict>
          </mc:Fallback>
        </mc:AlternateContent>
      </w:r>
      <w:r w:rsidR="00172F07" w:rsidRPr="00757E2D">
        <w:rPr>
          <w:rFonts w:asciiTheme="majorHAnsi" w:hAnsiTheme="majorHAnsi" w:cstheme="majorHAnsi"/>
          <w:sz w:val="20"/>
          <w:szCs w:val="20"/>
        </w:rPr>
        <w:t>Övrigt</w:t>
      </w:r>
      <w:r w:rsidR="00D31509" w:rsidRPr="00757E2D">
        <w:rPr>
          <w:rFonts w:asciiTheme="majorHAnsi" w:hAnsiTheme="majorHAnsi" w:cstheme="majorHAnsi"/>
          <w:sz w:val="20"/>
          <w:szCs w:val="20"/>
        </w:rPr>
        <w:t xml:space="preserve"> (exempelvis struktur, formalia, definitioner, </w:t>
      </w:r>
      <w:r w:rsidR="008C3508" w:rsidRPr="00757E2D">
        <w:rPr>
          <w:rFonts w:asciiTheme="majorHAnsi" w:hAnsiTheme="majorHAnsi" w:cstheme="majorHAnsi"/>
          <w:sz w:val="20"/>
          <w:szCs w:val="20"/>
        </w:rPr>
        <w:t>mm)</w:t>
      </w:r>
    </w:p>
    <w:p w14:paraId="30AC8E77" w14:textId="77777777" w:rsidR="00C10045" w:rsidRPr="00986A1D" w:rsidRDefault="00C10045" w:rsidP="00986A1D"/>
    <w:sectPr w:rsidR="00C10045" w:rsidRPr="00986A1D" w:rsidSect="009928A6">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0DCB" w14:textId="77777777" w:rsidR="00854B0C" w:rsidRDefault="00854B0C" w:rsidP="00BF282B">
      <w:pPr>
        <w:spacing w:after="0" w:line="240" w:lineRule="auto"/>
      </w:pPr>
      <w:r>
        <w:separator/>
      </w:r>
    </w:p>
  </w:endnote>
  <w:endnote w:type="continuationSeparator" w:id="0">
    <w:p w14:paraId="74B10855" w14:textId="77777777" w:rsidR="00854B0C" w:rsidRDefault="00854B0C" w:rsidP="00BF282B">
      <w:pPr>
        <w:spacing w:after="0" w:line="240" w:lineRule="auto"/>
      </w:pPr>
      <w:r>
        <w:continuationSeparator/>
      </w:r>
    </w:p>
  </w:endnote>
  <w:endnote w:type="continuationNotice" w:id="1">
    <w:p w14:paraId="0E5C3405" w14:textId="77777777" w:rsidR="00854B0C" w:rsidRDefault="0085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6DBCB49" w14:textId="77777777" w:rsidTr="00986A1D">
      <w:tc>
        <w:tcPr>
          <w:tcW w:w="5812" w:type="dxa"/>
        </w:tcPr>
        <w:p w14:paraId="77DB0B8B" w14:textId="3C97F94A"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AE1EAA">
                <w:t xml:space="preserve">     </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B6BAB">
                <w:t>Göteborgs Stads trygghetsskapande och brottsförebyggande program – remissmall</w:t>
              </w:r>
            </w:sdtContent>
          </w:sdt>
        </w:p>
      </w:tc>
      <w:tc>
        <w:tcPr>
          <w:tcW w:w="1343" w:type="dxa"/>
        </w:tcPr>
        <w:p w14:paraId="2956D3B3" w14:textId="77777777" w:rsidR="00986A1D" w:rsidRPr="009B4E2A" w:rsidRDefault="00986A1D" w:rsidP="00986A1D">
          <w:pPr>
            <w:pStyle w:val="Sidfot"/>
          </w:pPr>
        </w:p>
      </w:tc>
      <w:tc>
        <w:tcPr>
          <w:tcW w:w="1917" w:type="dxa"/>
        </w:tcPr>
        <w:p w14:paraId="03044BC7"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fldSimple w:instr="NUMPAGES   \* MERGEFORMAT">
            <w:r w:rsidR="007A7F8D">
              <w:rPr>
                <w:noProof/>
              </w:rPr>
              <w:t>1</w:t>
            </w:r>
          </w:fldSimple>
          <w:r w:rsidRPr="009B4E2A">
            <w:t>)</w:t>
          </w:r>
        </w:p>
      </w:tc>
    </w:tr>
    <w:tr w:rsidR="00986A1D" w14:paraId="68256410" w14:textId="77777777" w:rsidTr="00986A1D">
      <w:tc>
        <w:tcPr>
          <w:tcW w:w="5812" w:type="dxa"/>
        </w:tcPr>
        <w:p w14:paraId="49129FFD" w14:textId="77777777" w:rsidR="00986A1D" w:rsidRPr="00F66187" w:rsidRDefault="00986A1D" w:rsidP="00986A1D">
          <w:pPr>
            <w:pStyle w:val="Sidfot"/>
            <w:rPr>
              <w:rStyle w:val="Platshllartext"/>
              <w:color w:val="auto"/>
            </w:rPr>
          </w:pPr>
        </w:p>
      </w:tc>
      <w:tc>
        <w:tcPr>
          <w:tcW w:w="1343" w:type="dxa"/>
        </w:tcPr>
        <w:p w14:paraId="6A90900A" w14:textId="77777777" w:rsidR="00986A1D" w:rsidRDefault="00986A1D" w:rsidP="00986A1D">
          <w:pPr>
            <w:pStyle w:val="Sidfot"/>
          </w:pPr>
        </w:p>
      </w:tc>
      <w:tc>
        <w:tcPr>
          <w:tcW w:w="1917" w:type="dxa"/>
        </w:tcPr>
        <w:p w14:paraId="46F2B563" w14:textId="77777777" w:rsidR="00986A1D" w:rsidRDefault="00986A1D" w:rsidP="00986A1D">
          <w:pPr>
            <w:pStyle w:val="Sidfot"/>
            <w:jc w:val="right"/>
          </w:pPr>
        </w:p>
      </w:tc>
    </w:tr>
    <w:tr w:rsidR="00986A1D" w14:paraId="213C2405" w14:textId="77777777" w:rsidTr="00986A1D">
      <w:tc>
        <w:tcPr>
          <w:tcW w:w="5812" w:type="dxa"/>
        </w:tcPr>
        <w:p w14:paraId="7D7CB67D" w14:textId="77777777" w:rsidR="00986A1D" w:rsidRDefault="00986A1D" w:rsidP="00986A1D">
          <w:pPr>
            <w:pStyle w:val="Sidfot"/>
          </w:pPr>
        </w:p>
      </w:tc>
      <w:tc>
        <w:tcPr>
          <w:tcW w:w="1343" w:type="dxa"/>
        </w:tcPr>
        <w:p w14:paraId="3471E334" w14:textId="77777777" w:rsidR="00986A1D" w:rsidRDefault="00986A1D" w:rsidP="00986A1D">
          <w:pPr>
            <w:pStyle w:val="Sidfot"/>
          </w:pPr>
        </w:p>
      </w:tc>
      <w:tc>
        <w:tcPr>
          <w:tcW w:w="1917" w:type="dxa"/>
        </w:tcPr>
        <w:p w14:paraId="10261D3B" w14:textId="77777777" w:rsidR="00986A1D" w:rsidRDefault="00986A1D" w:rsidP="00986A1D">
          <w:pPr>
            <w:pStyle w:val="Sidfot"/>
            <w:jc w:val="right"/>
          </w:pPr>
        </w:p>
      </w:tc>
    </w:tr>
  </w:tbl>
  <w:p w14:paraId="1B3EA784"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D58AB36" w14:textId="77777777" w:rsidTr="00986A1D">
      <w:tc>
        <w:tcPr>
          <w:tcW w:w="5812" w:type="dxa"/>
        </w:tcPr>
        <w:p w14:paraId="060A02C0" w14:textId="720EA980" w:rsidR="00752CBB" w:rsidRDefault="0087328B">
          <w:pPr>
            <w:pStyle w:val="Sidfot"/>
          </w:pPr>
          <w:r>
            <w:t xml:space="preserve">Göteborgs Stad </w:t>
          </w:r>
          <w:r w:rsidR="009928A6">
            <w:t xml:space="preserve"> </w:t>
          </w:r>
          <w:sdt>
            <w:sdtPr>
              <w:id w:val="-580456535"/>
              <w:showingPlcHdr/>
              <w:dataBinding w:prefixMappings="xmlns:ns0='http://schemas.openxmlformats.org/officeDocument/2006/extended-properties' " w:xpath="/ns0:Properties[1]/ns0:Company[1]" w:storeItemID="{6668398D-A668-4E3E-A5EB-62B293D839F1}"/>
              <w:text/>
            </w:sdtPr>
            <w:sdtEndPr/>
            <w:sdtContent>
              <w:r w:rsidR="00AE1EAA">
                <w:t xml:space="preserve">     </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DB6BAB">
                <w:t>Göteborgs Stads trygghetsskapande och brottsförebyggande program – remissmall</w:t>
              </w:r>
            </w:sdtContent>
          </w:sdt>
        </w:p>
      </w:tc>
      <w:tc>
        <w:tcPr>
          <w:tcW w:w="1343" w:type="dxa"/>
        </w:tcPr>
        <w:p w14:paraId="49182F41" w14:textId="77777777" w:rsidR="00986A1D" w:rsidRPr="009B4E2A" w:rsidRDefault="00986A1D" w:rsidP="00986A1D">
          <w:pPr>
            <w:pStyle w:val="Sidfot"/>
          </w:pPr>
        </w:p>
      </w:tc>
      <w:tc>
        <w:tcPr>
          <w:tcW w:w="1917" w:type="dxa"/>
        </w:tcPr>
        <w:p w14:paraId="3FD9B09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fldSimple w:instr="NUMPAGES   \* MERGEFORMAT">
            <w:r w:rsidR="009928A6">
              <w:rPr>
                <w:noProof/>
              </w:rPr>
              <w:t>1</w:t>
            </w:r>
          </w:fldSimple>
          <w:r w:rsidRPr="009B4E2A">
            <w:t>)</w:t>
          </w:r>
        </w:p>
      </w:tc>
    </w:tr>
    <w:tr w:rsidR="00986A1D" w14:paraId="52AB2077" w14:textId="77777777" w:rsidTr="00986A1D">
      <w:tc>
        <w:tcPr>
          <w:tcW w:w="5812" w:type="dxa"/>
        </w:tcPr>
        <w:p w14:paraId="6DACF0FC" w14:textId="77777777" w:rsidR="00986A1D" w:rsidRPr="00F66187" w:rsidRDefault="00986A1D" w:rsidP="00986A1D">
          <w:pPr>
            <w:pStyle w:val="Sidfot"/>
            <w:rPr>
              <w:rStyle w:val="Platshllartext"/>
              <w:color w:val="auto"/>
            </w:rPr>
          </w:pPr>
        </w:p>
      </w:tc>
      <w:tc>
        <w:tcPr>
          <w:tcW w:w="1343" w:type="dxa"/>
        </w:tcPr>
        <w:p w14:paraId="1EA5E07F" w14:textId="77777777" w:rsidR="00986A1D" w:rsidRDefault="00986A1D" w:rsidP="00986A1D">
          <w:pPr>
            <w:pStyle w:val="Sidfot"/>
          </w:pPr>
        </w:p>
      </w:tc>
      <w:tc>
        <w:tcPr>
          <w:tcW w:w="1917" w:type="dxa"/>
        </w:tcPr>
        <w:p w14:paraId="5CA21FCF" w14:textId="77777777" w:rsidR="00986A1D" w:rsidRDefault="00986A1D" w:rsidP="00986A1D">
          <w:pPr>
            <w:pStyle w:val="Sidfot"/>
            <w:jc w:val="right"/>
          </w:pPr>
        </w:p>
      </w:tc>
    </w:tr>
    <w:tr w:rsidR="00986A1D" w14:paraId="23CB741D" w14:textId="77777777" w:rsidTr="00986A1D">
      <w:tc>
        <w:tcPr>
          <w:tcW w:w="5812" w:type="dxa"/>
        </w:tcPr>
        <w:p w14:paraId="0A094E06" w14:textId="77777777" w:rsidR="00986A1D" w:rsidRDefault="00986A1D" w:rsidP="00986A1D">
          <w:pPr>
            <w:pStyle w:val="Sidfot"/>
          </w:pPr>
        </w:p>
      </w:tc>
      <w:tc>
        <w:tcPr>
          <w:tcW w:w="1343" w:type="dxa"/>
        </w:tcPr>
        <w:p w14:paraId="2202F906" w14:textId="77777777" w:rsidR="00986A1D" w:rsidRDefault="00986A1D" w:rsidP="00986A1D">
          <w:pPr>
            <w:pStyle w:val="Sidfot"/>
          </w:pPr>
        </w:p>
      </w:tc>
      <w:tc>
        <w:tcPr>
          <w:tcW w:w="1917" w:type="dxa"/>
        </w:tcPr>
        <w:p w14:paraId="67182189" w14:textId="77777777" w:rsidR="00986A1D" w:rsidRDefault="00986A1D" w:rsidP="00986A1D">
          <w:pPr>
            <w:pStyle w:val="Sidfot"/>
            <w:jc w:val="right"/>
          </w:pPr>
        </w:p>
      </w:tc>
    </w:tr>
  </w:tbl>
  <w:p w14:paraId="4F32533A"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5953EE76" w14:textId="77777777" w:rsidTr="00FB3384">
      <w:tc>
        <w:tcPr>
          <w:tcW w:w="7118" w:type="dxa"/>
          <w:gridSpan w:val="2"/>
        </w:tcPr>
        <w:p w14:paraId="776611BB" w14:textId="6F1CCD09" w:rsidR="00752CBB" w:rsidRDefault="00DC31DB" w:rsidP="007A7F8D">
          <w:pPr>
            <w:pStyle w:val="Sidfot"/>
          </w:pP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DB6BAB">
                <w:t>Göteborgs Stads trygghetsskapande och brottsförebyggande program – remissmall</w:t>
              </w:r>
            </w:sdtContent>
          </w:sdt>
        </w:p>
      </w:tc>
      <w:tc>
        <w:tcPr>
          <w:tcW w:w="1954" w:type="dxa"/>
        </w:tcPr>
        <w:p w14:paraId="21C3384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fldSimple w:instr="NUMPAGES   \* MERGEFORMAT">
            <w:r w:rsidR="009928A6">
              <w:rPr>
                <w:noProof/>
              </w:rPr>
              <w:t>1</w:t>
            </w:r>
          </w:fldSimple>
          <w:r w:rsidRPr="009B4E2A">
            <w:t>)</w:t>
          </w:r>
        </w:p>
      </w:tc>
    </w:tr>
    <w:tr w:rsidR="00FB3384" w14:paraId="20FA08F4" w14:textId="77777777" w:rsidTr="00FB3384">
      <w:tc>
        <w:tcPr>
          <w:tcW w:w="3319" w:type="dxa"/>
        </w:tcPr>
        <w:p w14:paraId="03F014D0" w14:textId="77777777" w:rsidR="00FB3384" w:rsidRPr="00F66187" w:rsidRDefault="00FB3384" w:rsidP="00BD0663">
          <w:pPr>
            <w:pStyle w:val="Sidfot"/>
            <w:rPr>
              <w:rStyle w:val="Platshllartext"/>
              <w:color w:val="auto"/>
            </w:rPr>
          </w:pPr>
        </w:p>
      </w:tc>
      <w:tc>
        <w:tcPr>
          <w:tcW w:w="3799" w:type="dxa"/>
        </w:tcPr>
        <w:p w14:paraId="2C5B3147" w14:textId="77777777" w:rsidR="00FB3384" w:rsidRDefault="00FB3384" w:rsidP="00BD0663">
          <w:pPr>
            <w:pStyle w:val="Sidfot"/>
          </w:pPr>
        </w:p>
      </w:tc>
      <w:tc>
        <w:tcPr>
          <w:tcW w:w="1954" w:type="dxa"/>
          <w:vMerge w:val="restart"/>
          <w:vAlign w:val="bottom"/>
        </w:tcPr>
        <w:p w14:paraId="417E2FBC" w14:textId="77777777" w:rsidR="00FB3384" w:rsidRDefault="00FB3384" w:rsidP="00FB3384">
          <w:pPr>
            <w:pStyle w:val="Sidfot"/>
            <w:jc w:val="right"/>
          </w:pPr>
        </w:p>
      </w:tc>
    </w:tr>
    <w:tr w:rsidR="00FB3384" w14:paraId="12CA3192" w14:textId="77777777" w:rsidTr="00FB3384">
      <w:tc>
        <w:tcPr>
          <w:tcW w:w="3319" w:type="dxa"/>
        </w:tcPr>
        <w:p w14:paraId="33364152" w14:textId="77777777" w:rsidR="00FB3384" w:rsidRDefault="00FB3384" w:rsidP="00BD0663">
          <w:pPr>
            <w:pStyle w:val="Sidfot"/>
          </w:pPr>
        </w:p>
      </w:tc>
      <w:tc>
        <w:tcPr>
          <w:tcW w:w="3799" w:type="dxa"/>
        </w:tcPr>
        <w:p w14:paraId="4374C7F9" w14:textId="77777777" w:rsidR="00FB3384" w:rsidRDefault="00FB3384" w:rsidP="00BD0663">
          <w:pPr>
            <w:pStyle w:val="Sidfot"/>
          </w:pPr>
        </w:p>
      </w:tc>
      <w:tc>
        <w:tcPr>
          <w:tcW w:w="1954" w:type="dxa"/>
          <w:vMerge/>
        </w:tcPr>
        <w:p w14:paraId="7228657C" w14:textId="77777777" w:rsidR="00FB3384" w:rsidRDefault="00FB3384" w:rsidP="00BD0663">
          <w:pPr>
            <w:pStyle w:val="Sidfot"/>
            <w:jc w:val="right"/>
          </w:pPr>
        </w:p>
      </w:tc>
    </w:tr>
  </w:tbl>
  <w:p w14:paraId="71DC7AB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D1A9" w14:textId="77777777" w:rsidR="00854B0C" w:rsidRDefault="00854B0C" w:rsidP="00BF282B">
      <w:pPr>
        <w:spacing w:after="0" w:line="240" w:lineRule="auto"/>
      </w:pPr>
      <w:r>
        <w:separator/>
      </w:r>
    </w:p>
  </w:footnote>
  <w:footnote w:type="continuationSeparator" w:id="0">
    <w:p w14:paraId="50CC5C7B" w14:textId="77777777" w:rsidR="00854B0C" w:rsidRDefault="00854B0C" w:rsidP="00BF282B">
      <w:pPr>
        <w:spacing w:after="0" w:line="240" w:lineRule="auto"/>
      </w:pPr>
      <w:r>
        <w:continuationSeparator/>
      </w:r>
    </w:p>
  </w:footnote>
  <w:footnote w:type="continuationNotice" w:id="1">
    <w:p w14:paraId="101538C4" w14:textId="77777777" w:rsidR="00854B0C" w:rsidRDefault="00854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24550F" w14:paraId="6ECA1D93" w14:textId="77777777" w:rsidTr="6D014A3A">
      <w:tc>
        <w:tcPr>
          <w:tcW w:w="5103" w:type="dxa"/>
          <w:tcBorders>
            <w:bottom w:val="nil"/>
          </w:tcBorders>
          <w:vAlign w:val="center"/>
        </w:tcPr>
        <w:p w14:paraId="6831DED7" w14:textId="29E2EE73" w:rsidR="00752CBB" w:rsidRDefault="00DC31DB">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AE1EAA">
                <w:t xml:space="preserve">     </w:t>
              </w:r>
            </w:sdtContent>
          </w:sdt>
        </w:p>
      </w:tc>
      <w:tc>
        <w:tcPr>
          <w:tcW w:w="3969" w:type="dxa"/>
          <w:tcBorders>
            <w:bottom w:val="nil"/>
          </w:tcBorders>
        </w:tcPr>
        <w:p w14:paraId="5C3EC2F5" w14:textId="77777777" w:rsidR="0024550F" w:rsidRDefault="6D014A3A" w:rsidP="0024550F">
          <w:pPr>
            <w:pStyle w:val="Sidhuvud"/>
            <w:spacing w:after="100"/>
            <w:jc w:val="right"/>
          </w:pPr>
          <w:r>
            <w:rPr>
              <w:noProof/>
            </w:rPr>
            <w:drawing>
              <wp:inline distT="0" distB="0" distL="0" distR="0" wp14:anchorId="1FA5470D" wp14:editId="26C17284">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4550F" w14:paraId="21268483" w14:textId="77777777" w:rsidTr="6D014A3A">
      <w:tc>
        <w:tcPr>
          <w:tcW w:w="5103" w:type="dxa"/>
          <w:tcBorders>
            <w:top w:val="nil"/>
            <w:bottom w:val="single" w:sz="4" w:space="0" w:color="auto"/>
          </w:tcBorders>
          <w:shd w:val="clear" w:color="auto" w:fill="auto"/>
        </w:tcPr>
        <w:p w14:paraId="5ADD71CF" w14:textId="77777777" w:rsidR="0024550F" w:rsidRDefault="0024550F" w:rsidP="0024550F">
          <w:pPr>
            <w:pStyle w:val="Sidhuvud"/>
            <w:spacing w:after="100"/>
          </w:pPr>
        </w:p>
      </w:tc>
      <w:tc>
        <w:tcPr>
          <w:tcW w:w="3969" w:type="dxa"/>
          <w:tcBorders>
            <w:bottom w:val="single" w:sz="4" w:space="0" w:color="auto"/>
          </w:tcBorders>
          <w:shd w:val="clear" w:color="auto" w:fill="auto"/>
        </w:tcPr>
        <w:p w14:paraId="7C63F121" w14:textId="77777777" w:rsidR="0024550F" w:rsidRDefault="0024550F" w:rsidP="0024550F">
          <w:pPr>
            <w:pStyle w:val="Sidhuvud"/>
            <w:spacing w:after="100"/>
            <w:jc w:val="right"/>
          </w:pPr>
        </w:p>
      </w:tc>
    </w:tr>
  </w:tbl>
  <w:p w14:paraId="5DB66370" w14:textId="77777777" w:rsidR="0024550F" w:rsidRDefault="002455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DB6BAB"/>
    <w:rsid w:val="00006C03"/>
    <w:rsid w:val="00022D29"/>
    <w:rsid w:val="00027E1A"/>
    <w:rsid w:val="000620CF"/>
    <w:rsid w:val="000A3A22"/>
    <w:rsid w:val="000B6F6F"/>
    <w:rsid w:val="000C68BA"/>
    <w:rsid w:val="000C6B6F"/>
    <w:rsid w:val="000D296A"/>
    <w:rsid w:val="000D6419"/>
    <w:rsid w:val="000F2B85"/>
    <w:rsid w:val="001019A0"/>
    <w:rsid w:val="0011061F"/>
    <w:rsid w:val="0011381D"/>
    <w:rsid w:val="0012798C"/>
    <w:rsid w:val="001422A0"/>
    <w:rsid w:val="00142EF8"/>
    <w:rsid w:val="00142FEF"/>
    <w:rsid w:val="001477FA"/>
    <w:rsid w:val="00157BEA"/>
    <w:rsid w:val="00171C02"/>
    <w:rsid w:val="00172F07"/>
    <w:rsid w:val="00173F0C"/>
    <w:rsid w:val="00180598"/>
    <w:rsid w:val="0018349D"/>
    <w:rsid w:val="001A646B"/>
    <w:rsid w:val="001C2218"/>
    <w:rsid w:val="001D001D"/>
    <w:rsid w:val="001D645F"/>
    <w:rsid w:val="002158AD"/>
    <w:rsid w:val="00225CC5"/>
    <w:rsid w:val="00230F06"/>
    <w:rsid w:val="00235BA9"/>
    <w:rsid w:val="00240310"/>
    <w:rsid w:val="00241F59"/>
    <w:rsid w:val="0024550F"/>
    <w:rsid w:val="00257F49"/>
    <w:rsid w:val="00271812"/>
    <w:rsid w:val="00272128"/>
    <w:rsid w:val="00290AA2"/>
    <w:rsid w:val="002B1413"/>
    <w:rsid w:val="002D09F7"/>
    <w:rsid w:val="002F1E7C"/>
    <w:rsid w:val="002F4565"/>
    <w:rsid w:val="002F46BA"/>
    <w:rsid w:val="003113D4"/>
    <w:rsid w:val="00311FAB"/>
    <w:rsid w:val="003164EC"/>
    <w:rsid w:val="003218C3"/>
    <w:rsid w:val="00323048"/>
    <w:rsid w:val="00332A7F"/>
    <w:rsid w:val="00337FE6"/>
    <w:rsid w:val="00344D3C"/>
    <w:rsid w:val="00345681"/>
    <w:rsid w:val="0034569F"/>
    <w:rsid w:val="00350FEF"/>
    <w:rsid w:val="00352ACE"/>
    <w:rsid w:val="00353E80"/>
    <w:rsid w:val="00367F49"/>
    <w:rsid w:val="00372CB4"/>
    <w:rsid w:val="00387BF1"/>
    <w:rsid w:val="003A3311"/>
    <w:rsid w:val="003A7E71"/>
    <w:rsid w:val="003B75BE"/>
    <w:rsid w:val="00402B49"/>
    <w:rsid w:val="00414494"/>
    <w:rsid w:val="00414E79"/>
    <w:rsid w:val="00417141"/>
    <w:rsid w:val="00420715"/>
    <w:rsid w:val="00440D30"/>
    <w:rsid w:val="00444C63"/>
    <w:rsid w:val="00452724"/>
    <w:rsid w:val="004534F8"/>
    <w:rsid w:val="00460755"/>
    <w:rsid w:val="00461449"/>
    <w:rsid w:val="00466328"/>
    <w:rsid w:val="00473C11"/>
    <w:rsid w:val="0047410A"/>
    <w:rsid w:val="0048687F"/>
    <w:rsid w:val="004A32E7"/>
    <w:rsid w:val="004A5252"/>
    <w:rsid w:val="004B1EE0"/>
    <w:rsid w:val="004B287C"/>
    <w:rsid w:val="004C0571"/>
    <w:rsid w:val="004C78B0"/>
    <w:rsid w:val="00516983"/>
    <w:rsid w:val="00521790"/>
    <w:rsid w:val="005256C2"/>
    <w:rsid w:val="00531981"/>
    <w:rsid w:val="005571DD"/>
    <w:rsid w:val="00566EBB"/>
    <w:rsid w:val="005729A0"/>
    <w:rsid w:val="00597ACB"/>
    <w:rsid w:val="005B715A"/>
    <w:rsid w:val="005E2961"/>
    <w:rsid w:val="005E6622"/>
    <w:rsid w:val="005E695B"/>
    <w:rsid w:val="005F5390"/>
    <w:rsid w:val="00607F19"/>
    <w:rsid w:val="00613965"/>
    <w:rsid w:val="00623D4E"/>
    <w:rsid w:val="006268F2"/>
    <w:rsid w:val="00631C23"/>
    <w:rsid w:val="006529F3"/>
    <w:rsid w:val="006557BB"/>
    <w:rsid w:val="0066368D"/>
    <w:rsid w:val="006772D2"/>
    <w:rsid w:val="00677DAB"/>
    <w:rsid w:val="00680BE1"/>
    <w:rsid w:val="00690A7F"/>
    <w:rsid w:val="0069725F"/>
    <w:rsid w:val="006D54AE"/>
    <w:rsid w:val="006D79F1"/>
    <w:rsid w:val="006E3041"/>
    <w:rsid w:val="0070528C"/>
    <w:rsid w:val="00712713"/>
    <w:rsid w:val="00714597"/>
    <w:rsid w:val="00720B05"/>
    <w:rsid w:val="007424BD"/>
    <w:rsid w:val="00742AE2"/>
    <w:rsid w:val="007454CB"/>
    <w:rsid w:val="007517BE"/>
    <w:rsid w:val="00752697"/>
    <w:rsid w:val="00752CBB"/>
    <w:rsid w:val="007531E3"/>
    <w:rsid w:val="00757E2D"/>
    <w:rsid w:val="00766929"/>
    <w:rsid w:val="00770200"/>
    <w:rsid w:val="00771F00"/>
    <w:rsid w:val="00776D7B"/>
    <w:rsid w:val="0079596D"/>
    <w:rsid w:val="00797888"/>
    <w:rsid w:val="00797A6A"/>
    <w:rsid w:val="007A0E1C"/>
    <w:rsid w:val="007A7F8D"/>
    <w:rsid w:val="007C2460"/>
    <w:rsid w:val="007C2CE7"/>
    <w:rsid w:val="007C4603"/>
    <w:rsid w:val="008129FE"/>
    <w:rsid w:val="008160A2"/>
    <w:rsid w:val="00831E91"/>
    <w:rsid w:val="00852131"/>
    <w:rsid w:val="00854B0C"/>
    <w:rsid w:val="0085729B"/>
    <w:rsid w:val="00871277"/>
    <w:rsid w:val="0087328B"/>
    <w:rsid w:val="008760F6"/>
    <w:rsid w:val="00880D71"/>
    <w:rsid w:val="00895912"/>
    <w:rsid w:val="008C0BA6"/>
    <w:rsid w:val="008C3508"/>
    <w:rsid w:val="008E56C2"/>
    <w:rsid w:val="008F1EB7"/>
    <w:rsid w:val="008F4C5B"/>
    <w:rsid w:val="008F71A3"/>
    <w:rsid w:val="009433F3"/>
    <w:rsid w:val="0095432D"/>
    <w:rsid w:val="009624D4"/>
    <w:rsid w:val="00985ACB"/>
    <w:rsid w:val="00986A1D"/>
    <w:rsid w:val="0099025D"/>
    <w:rsid w:val="009928A6"/>
    <w:rsid w:val="009969C6"/>
    <w:rsid w:val="009B4E2A"/>
    <w:rsid w:val="009D4D5C"/>
    <w:rsid w:val="009D52BF"/>
    <w:rsid w:val="009D6E14"/>
    <w:rsid w:val="009E68F7"/>
    <w:rsid w:val="009F0E96"/>
    <w:rsid w:val="009F538B"/>
    <w:rsid w:val="00A03C1B"/>
    <w:rsid w:val="00A074B5"/>
    <w:rsid w:val="00A23E66"/>
    <w:rsid w:val="00A345C1"/>
    <w:rsid w:val="00A3668C"/>
    <w:rsid w:val="00A40B54"/>
    <w:rsid w:val="00A47AD9"/>
    <w:rsid w:val="00A8112E"/>
    <w:rsid w:val="00AA0284"/>
    <w:rsid w:val="00AE1EAA"/>
    <w:rsid w:val="00AE5147"/>
    <w:rsid w:val="00AE5F41"/>
    <w:rsid w:val="00AF434B"/>
    <w:rsid w:val="00AF7C08"/>
    <w:rsid w:val="00B17E19"/>
    <w:rsid w:val="00B44A38"/>
    <w:rsid w:val="00B451AA"/>
    <w:rsid w:val="00B456FF"/>
    <w:rsid w:val="00B45EEF"/>
    <w:rsid w:val="00B46E27"/>
    <w:rsid w:val="00B53219"/>
    <w:rsid w:val="00B60751"/>
    <w:rsid w:val="00B63E0E"/>
    <w:rsid w:val="00B64775"/>
    <w:rsid w:val="00B65066"/>
    <w:rsid w:val="00B80D47"/>
    <w:rsid w:val="00B928AC"/>
    <w:rsid w:val="00B92AA3"/>
    <w:rsid w:val="00BA1320"/>
    <w:rsid w:val="00BB6F01"/>
    <w:rsid w:val="00BD0663"/>
    <w:rsid w:val="00BD4B2E"/>
    <w:rsid w:val="00BF1EC3"/>
    <w:rsid w:val="00BF282B"/>
    <w:rsid w:val="00C0363D"/>
    <w:rsid w:val="00C10045"/>
    <w:rsid w:val="00C17F7C"/>
    <w:rsid w:val="00C31686"/>
    <w:rsid w:val="00C53ED5"/>
    <w:rsid w:val="00C56599"/>
    <w:rsid w:val="00C81CD7"/>
    <w:rsid w:val="00C85A21"/>
    <w:rsid w:val="00CD0496"/>
    <w:rsid w:val="00CD65E8"/>
    <w:rsid w:val="00CD7E3F"/>
    <w:rsid w:val="00CF61F7"/>
    <w:rsid w:val="00D04AB7"/>
    <w:rsid w:val="00D21D96"/>
    <w:rsid w:val="00D22966"/>
    <w:rsid w:val="00D30B23"/>
    <w:rsid w:val="00D31509"/>
    <w:rsid w:val="00D50E35"/>
    <w:rsid w:val="00D731D2"/>
    <w:rsid w:val="00DA173D"/>
    <w:rsid w:val="00DA76F6"/>
    <w:rsid w:val="00DB24C5"/>
    <w:rsid w:val="00DB6BAB"/>
    <w:rsid w:val="00DC59E4"/>
    <w:rsid w:val="00DC5A8E"/>
    <w:rsid w:val="00DC6E79"/>
    <w:rsid w:val="00DD3800"/>
    <w:rsid w:val="00DF152D"/>
    <w:rsid w:val="00DF3535"/>
    <w:rsid w:val="00E11731"/>
    <w:rsid w:val="00E11829"/>
    <w:rsid w:val="00E15084"/>
    <w:rsid w:val="00E15D06"/>
    <w:rsid w:val="00E17687"/>
    <w:rsid w:val="00E2631E"/>
    <w:rsid w:val="00E34D02"/>
    <w:rsid w:val="00E6478A"/>
    <w:rsid w:val="00E71D84"/>
    <w:rsid w:val="00EB494F"/>
    <w:rsid w:val="00EB5967"/>
    <w:rsid w:val="00EC2D05"/>
    <w:rsid w:val="00EF3693"/>
    <w:rsid w:val="00EF388D"/>
    <w:rsid w:val="00F21F83"/>
    <w:rsid w:val="00F36AE1"/>
    <w:rsid w:val="00F4117C"/>
    <w:rsid w:val="00F42AF0"/>
    <w:rsid w:val="00F57801"/>
    <w:rsid w:val="00F653EE"/>
    <w:rsid w:val="00F66187"/>
    <w:rsid w:val="00F702D1"/>
    <w:rsid w:val="00F77E1C"/>
    <w:rsid w:val="00F8364C"/>
    <w:rsid w:val="00F847DF"/>
    <w:rsid w:val="00FA0781"/>
    <w:rsid w:val="00FA6953"/>
    <w:rsid w:val="00FB3384"/>
    <w:rsid w:val="00FC30F6"/>
    <w:rsid w:val="00FF2ADF"/>
    <w:rsid w:val="00FF5577"/>
    <w:rsid w:val="00FF5B5B"/>
    <w:rsid w:val="3E32274A"/>
    <w:rsid w:val="4E71258C"/>
    <w:rsid w:val="6D014A3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82911"/>
  <w15:docId w15:val="{CFC60F97-EAFA-4A38-A78F-437842A5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6268F2"/>
    <w:rPr>
      <w:b/>
      <w:bCs/>
    </w:rPr>
  </w:style>
  <w:style w:type="character" w:customStyle="1" w:styleId="KommentarsmneChar">
    <w:name w:val="Kommentarsämne Char"/>
    <w:basedOn w:val="KommentarerChar"/>
    <w:link w:val="Kommentarsmne"/>
    <w:uiPriority w:val="99"/>
    <w:semiHidden/>
    <w:rsid w:val="006268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Tomt%20dok%20med%20logga.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4" ma:contentTypeDescription="Skapa ett nytt dokument." ma:contentTypeScope="" ma:versionID="6badb6b82f07c7ac9aefcf34ca9275d9">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fcba92daa0c0c19eaecdd4cc04411514"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BBA19-1AA9-4715-A9CF-DED33CAEDF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B4682-A3DC-42F1-84F4-9934FB2A8491}">
  <ds:schemaRefs>
    <ds:schemaRef ds:uri="http://schemas.microsoft.com/sharepoint/v3/contenttype/forms"/>
  </ds:schemaRefs>
</ds:datastoreItem>
</file>

<file path=customXml/itemProps3.xml><?xml version="1.0" encoding="utf-8"?>
<ds:datastoreItem xmlns:ds="http://schemas.openxmlformats.org/officeDocument/2006/customXml" ds:itemID="{94DD8C18-9FC5-4AC6-8A2A-CB0B0354C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Tomt dok med logga</Template>
  <TotalTime>1</TotalTime>
  <Pages>3</Pages>
  <Words>566</Words>
  <Characters>3004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Göteborgs Stads trygghetsskapande och brottsförebyggande program – remissmall</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trygghetsskapande och brottsförebyggande program – remissmall</dc:title>
  <dc:subject/>
  <dc:creator>Emilia Åman</dc:creator>
  <cp:keywords/>
  <dc:description/>
  <cp:lastModifiedBy>Malin Andersson</cp:lastModifiedBy>
  <cp:revision>2</cp:revision>
  <cp:lastPrinted>2017-01-06T00:29:00Z</cp:lastPrinted>
  <dcterms:created xsi:type="dcterms:W3CDTF">2022-08-31T10:54:00Z</dcterms:created>
  <dcterms:modified xsi:type="dcterms:W3CDTF">2022-08-31T10:54:00Z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DF0457D4F38F5F28C125885A0026FC67</vt:lpwstr>
  </property>
  <property fmtid="{D5CDD505-2E9C-101B-9397-08002B2CF9AE}" pid="7" name="SW_DocHWND">
    <vt:r8>3540758</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CN=S002aDa01clu/OU=ADB-kontoret/O=Göteborgs Kommun</vt:lpwstr>
  </property>
  <property fmtid="{D5CDD505-2E9C-101B-9397-08002B2CF9AE}" pid="17" name="SW_DocumentDB">
    <vt:lpwstr>Prod\Stadskansliet\LIS\Arbetsgrupper\SLKarenden.nsf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