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8EA9D" w14:textId="77777777" w:rsidR="00AF5926" w:rsidRPr="00E800C5" w:rsidRDefault="00AF5926" w:rsidP="00AF5926">
      <w:pPr>
        <w:pStyle w:val="Rubrik1"/>
        <w:keepLines w:val="0"/>
        <w:pageBreakBefore/>
        <w:numPr>
          <w:ilvl w:val="0"/>
          <w:numId w:val="25"/>
        </w:numPr>
        <w:tabs>
          <w:tab w:val="left" w:pos="709"/>
        </w:tabs>
        <w:spacing w:before="240" w:after="60" w:line="276" w:lineRule="auto"/>
        <w:ind w:right="-2"/>
        <w:rPr>
          <w:rFonts w:asciiTheme="minorHAnsi" w:hAnsiTheme="minorHAnsi" w:cstheme="minorHAnsi"/>
          <w:sz w:val="24"/>
          <w:szCs w:val="24"/>
        </w:rPr>
      </w:pPr>
      <w:bookmarkStart w:id="0" w:name="_Toc428123999"/>
      <w:r w:rsidRPr="00E800C5">
        <w:rPr>
          <w:rFonts w:asciiTheme="minorHAnsi" w:hAnsiTheme="minorHAnsi" w:cstheme="minorHAnsi"/>
          <w:sz w:val="24"/>
          <w:szCs w:val="24"/>
        </w:rPr>
        <w:t>Om dokumentet</w:t>
      </w:r>
      <w:bookmarkEnd w:id="0"/>
    </w:p>
    <w:p w14:paraId="4CB6AC2D"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1" w:name="_Toc373930284"/>
      <w:bookmarkStart w:id="2" w:name="_Toc407003323"/>
      <w:bookmarkStart w:id="3" w:name="_Toc425796921"/>
      <w:bookmarkStart w:id="4" w:name="_Toc428124000"/>
      <w:r>
        <w:rPr>
          <w:rFonts w:asciiTheme="minorHAnsi" w:hAnsiTheme="minorHAnsi" w:cstheme="minorHAnsi"/>
          <w:sz w:val="24"/>
          <w:szCs w:val="24"/>
        </w:rPr>
        <w:tab/>
      </w:r>
      <w:r w:rsidRPr="00E800C5">
        <w:rPr>
          <w:rFonts w:asciiTheme="minorHAnsi" w:hAnsiTheme="minorHAnsi" w:cstheme="minorHAnsi"/>
          <w:sz w:val="24"/>
          <w:szCs w:val="24"/>
        </w:rPr>
        <w:t>Bakgrund och syfte</w:t>
      </w:r>
      <w:bookmarkEnd w:id="1"/>
      <w:bookmarkEnd w:id="2"/>
      <w:bookmarkEnd w:id="3"/>
      <w:bookmarkEnd w:id="4"/>
    </w:p>
    <w:p w14:paraId="16F8298C" w14:textId="77777777" w:rsidR="00AF5926" w:rsidRPr="00E800C5" w:rsidRDefault="00AF5926" w:rsidP="00AF5926">
      <w:pPr>
        <w:pStyle w:val="Normaltindrag"/>
        <w:ind w:right="-2"/>
        <w:rPr>
          <w:rFonts w:asciiTheme="minorHAnsi" w:hAnsiTheme="minorHAnsi" w:cstheme="minorHAnsi"/>
          <w:szCs w:val="24"/>
        </w:rPr>
      </w:pPr>
      <w:bookmarkStart w:id="5" w:name="_Toc373930285"/>
      <w:r w:rsidRPr="00E800C5">
        <w:rPr>
          <w:rFonts w:asciiTheme="minorHAnsi" w:hAnsiTheme="minorHAnsi" w:cstheme="minorHAnsi"/>
          <w:szCs w:val="24"/>
        </w:rPr>
        <w:t>Som en del av bolagets solvensrapportering ska Försäkrings AB Göta Lejon (Bolaget), enligt gällande lagar och regelverk, vid varje rapporteringstillfälle ta fram och presentera en solvensbalansräkning – omfattande bolagets tillgångar och skulder – samt bolagets kapitalbasmedel.</w:t>
      </w:r>
    </w:p>
    <w:p w14:paraId="495E90A3"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Denna riktlinje beskriver Bolagets bakomliggande principer och metoder för härledning av dessa poster. </w:t>
      </w:r>
    </w:p>
    <w:p w14:paraId="4BDFA092"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Riktlinjen omfattar inte:</w:t>
      </w:r>
    </w:p>
    <w:p w14:paraId="5D1FD555" w14:textId="77777777" w:rsidR="00AF5926" w:rsidRPr="00E800C5" w:rsidRDefault="00AF5926" w:rsidP="00AF5926">
      <w:pPr>
        <w:pStyle w:val="Normaltindrag"/>
        <w:numPr>
          <w:ilvl w:val="0"/>
          <w:numId w:val="22"/>
        </w:numPr>
        <w:ind w:left="1134" w:right="-2" w:hanging="425"/>
        <w:rPr>
          <w:rFonts w:asciiTheme="minorHAnsi" w:hAnsiTheme="minorHAnsi" w:cstheme="minorHAnsi"/>
          <w:szCs w:val="24"/>
        </w:rPr>
      </w:pPr>
      <w:r w:rsidRPr="00E800C5">
        <w:rPr>
          <w:rFonts w:asciiTheme="minorHAnsi" w:hAnsiTheme="minorHAnsi" w:cstheme="minorHAnsi"/>
          <w:szCs w:val="24"/>
        </w:rPr>
        <w:t>Beräkning av bolagets solvenskapitalkrav och minimikapitalkrav, inklusive beräkning av värdet av individuella balansräkningsposter under de stressade scenario som används för att härleda solvenskapitalkravet.</w:t>
      </w:r>
    </w:p>
    <w:p w14:paraId="294804FB"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6" w:name="_Toc407003324"/>
      <w:bookmarkStart w:id="7" w:name="_Toc425796922"/>
      <w:bookmarkStart w:id="8" w:name="_Toc428124001"/>
      <w:r>
        <w:rPr>
          <w:rFonts w:asciiTheme="minorHAnsi" w:hAnsiTheme="minorHAnsi" w:cstheme="minorHAnsi"/>
          <w:sz w:val="24"/>
          <w:szCs w:val="24"/>
        </w:rPr>
        <w:tab/>
      </w:r>
      <w:r w:rsidRPr="00E800C5">
        <w:rPr>
          <w:rFonts w:asciiTheme="minorHAnsi" w:hAnsiTheme="minorHAnsi" w:cstheme="minorHAnsi"/>
          <w:sz w:val="24"/>
          <w:szCs w:val="24"/>
        </w:rPr>
        <w:t>Omfattning och avgränsningar</w:t>
      </w:r>
      <w:bookmarkEnd w:id="5"/>
      <w:bookmarkEnd w:id="6"/>
      <w:bookmarkEnd w:id="7"/>
      <w:bookmarkEnd w:id="8"/>
    </w:p>
    <w:p w14:paraId="4AF3E8A0" w14:textId="77777777" w:rsidR="00AF5926" w:rsidRPr="00E800C5" w:rsidRDefault="00AF5926" w:rsidP="00AF5926">
      <w:pPr>
        <w:pStyle w:val="Normaltindrag"/>
        <w:ind w:right="-2"/>
        <w:rPr>
          <w:rFonts w:asciiTheme="minorHAnsi" w:hAnsiTheme="minorHAnsi" w:cstheme="minorHAnsi"/>
          <w:szCs w:val="24"/>
        </w:rPr>
      </w:pPr>
      <w:bookmarkStart w:id="9" w:name="_Toc373930286"/>
      <w:r w:rsidRPr="00E800C5">
        <w:rPr>
          <w:rFonts w:asciiTheme="minorHAnsi" w:hAnsiTheme="minorHAnsi" w:cstheme="minorHAnsi"/>
          <w:szCs w:val="24"/>
        </w:rPr>
        <w:t>Denna riktlinje gäller inom Bolaget och omfattar samtliga medarbetare inom ekonomifunktionen samt ansvarig Aktuarie, men även andra funktioner inom och utanför bolaget med ansvar för värderingsfrågor gällande solvensbalansräkning samt kapitalbas.</w:t>
      </w:r>
    </w:p>
    <w:p w14:paraId="0A301AFE"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10" w:name="_Toc407003325"/>
      <w:bookmarkStart w:id="11" w:name="_Toc425796923"/>
      <w:bookmarkStart w:id="12" w:name="_Toc428124002"/>
      <w:r>
        <w:rPr>
          <w:rFonts w:asciiTheme="minorHAnsi" w:hAnsiTheme="minorHAnsi" w:cstheme="minorHAnsi"/>
          <w:sz w:val="24"/>
          <w:szCs w:val="24"/>
        </w:rPr>
        <w:tab/>
      </w:r>
      <w:r w:rsidRPr="00E800C5">
        <w:rPr>
          <w:rFonts w:asciiTheme="minorHAnsi" w:hAnsiTheme="minorHAnsi" w:cstheme="minorHAnsi"/>
          <w:sz w:val="24"/>
          <w:szCs w:val="24"/>
        </w:rPr>
        <w:t>Dokumentets beslutsordning</w:t>
      </w:r>
      <w:bookmarkEnd w:id="9"/>
      <w:bookmarkEnd w:id="10"/>
      <w:bookmarkEnd w:id="11"/>
      <w:bookmarkEnd w:id="12"/>
      <w:r w:rsidRPr="00E800C5">
        <w:rPr>
          <w:rFonts w:asciiTheme="minorHAnsi" w:hAnsiTheme="minorHAnsi" w:cstheme="minorHAnsi"/>
          <w:sz w:val="24"/>
          <w:szCs w:val="24"/>
        </w:rPr>
        <w:t xml:space="preserve"> </w:t>
      </w:r>
    </w:p>
    <w:p w14:paraId="72884615"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Denna riktlinje fastställs av vd och träder i kraft dagen för beslut. Riktlinjen ska fastställas och godkännas minst en gång per år även om inga ändringar beslutas. Ekonomichefen ansvarar för att ta fram och uppdatera riktlinjen.</w:t>
      </w:r>
    </w:p>
    <w:p w14:paraId="70F57C3A"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13" w:name="_Toc373930287"/>
      <w:bookmarkStart w:id="14" w:name="_Toc407003326"/>
      <w:bookmarkStart w:id="15" w:name="_Toc425796924"/>
      <w:bookmarkStart w:id="16" w:name="_Toc428124003"/>
      <w:r>
        <w:rPr>
          <w:rFonts w:asciiTheme="minorHAnsi" w:hAnsiTheme="minorHAnsi" w:cstheme="minorHAnsi"/>
          <w:sz w:val="24"/>
          <w:szCs w:val="24"/>
        </w:rPr>
        <w:tab/>
      </w:r>
      <w:r w:rsidRPr="00E800C5">
        <w:rPr>
          <w:rFonts w:asciiTheme="minorHAnsi" w:hAnsiTheme="minorHAnsi" w:cstheme="minorHAnsi"/>
          <w:sz w:val="24"/>
          <w:szCs w:val="24"/>
        </w:rPr>
        <w:t>Efterlevnad</w:t>
      </w:r>
      <w:bookmarkEnd w:id="13"/>
      <w:bookmarkEnd w:id="14"/>
      <w:bookmarkEnd w:id="15"/>
      <w:bookmarkEnd w:id="16"/>
      <w:r w:rsidRPr="00E800C5">
        <w:rPr>
          <w:rFonts w:asciiTheme="minorHAnsi" w:hAnsiTheme="minorHAnsi" w:cstheme="minorHAnsi"/>
          <w:sz w:val="24"/>
          <w:szCs w:val="24"/>
        </w:rPr>
        <w:t xml:space="preserve"> </w:t>
      </w:r>
    </w:p>
    <w:p w14:paraId="14ABACCB"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Alla medarbetare inom ekonomienheten ansvarar för att denna riktlinje följs. Chefer i organisationen säkerställer att riktlinjen efterlevs och att kunskap om innehållet finns inom gruppen/enheten/avdelningen. Ansvarig för att granska verksamhetens efterlevnad är </w:t>
      </w:r>
      <w:proofErr w:type="spellStart"/>
      <w:r w:rsidRPr="00E800C5">
        <w:rPr>
          <w:rFonts w:asciiTheme="minorHAnsi" w:hAnsiTheme="minorHAnsi" w:cstheme="minorHAnsi"/>
          <w:szCs w:val="24"/>
        </w:rPr>
        <w:t>Compliance</w:t>
      </w:r>
      <w:proofErr w:type="spellEnd"/>
      <w:r w:rsidRPr="00E800C5">
        <w:rPr>
          <w:rFonts w:asciiTheme="minorHAnsi" w:hAnsiTheme="minorHAnsi" w:cstheme="minorHAnsi"/>
          <w:szCs w:val="24"/>
        </w:rPr>
        <w:t xml:space="preserve">. </w:t>
      </w:r>
    </w:p>
    <w:p w14:paraId="191094A1"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17" w:name="_Toc373930288"/>
      <w:bookmarkStart w:id="18" w:name="_Toc407003327"/>
      <w:bookmarkStart w:id="19" w:name="_Toc425796925"/>
      <w:bookmarkStart w:id="20" w:name="_Toc428124004"/>
      <w:r>
        <w:rPr>
          <w:rFonts w:asciiTheme="minorHAnsi" w:hAnsiTheme="minorHAnsi" w:cstheme="minorHAnsi"/>
          <w:sz w:val="24"/>
          <w:szCs w:val="24"/>
        </w:rPr>
        <w:tab/>
      </w:r>
      <w:r w:rsidRPr="00E800C5">
        <w:rPr>
          <w:rFonts w:asciiTheme="minorHAnsi" w:hAnsiTheme="minorHAnsi" w:cstheme="minorHAnsi"/>
          <w:sz w:val="24"/>
          <w:szCs w:val="24"/>
        </w:rPr>
        <w:t>Ansvar och befogenheter</w:t>
      </w:r>
      <w:bookmarkEnd w:id="17"/>
      <w:bookmarkEnd w:id="18"/>
      <w:bookmarkEnd w:id="19"/>
      <w:bookmarkEnd w:id="20"/>
      <w:r w:rsidRPr="00E800C5">
        <w:rPr>
          <w:rFonts w:asciiTheme="minorHAnsi" w:hAnsiTheme="minorHAnsi" w:cstheme="minorHAnsi"/>
          <w:sz w:val="24"/>
          <w:szCs w:val="24"/>
        </w:rPr>
        <w:t xml:space="preserve"> </w:t>
      </w:r>
    </w:p>
    <w:p w14:paraId="2C22B6C3"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Styrelsen har ett övergripande ansvar för att lagar och förordningar avseende en korrekt härledning av solvensbalansräkning och kapitalbas efterlevs. </w:t>
      </w:r>
    </w:p>
    <w:p w14:paraId="4ACA1B40"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Ekonomichefen ansvarar för att den information som krävs för värdering och härledning finns tillgänglig för verksamheten. samt ansvarar för värdering av bolagets tillgångar och övriga skulder, det praktiskt framtagande av solvensbalansräkningen, samt beräkning av kapitalbasen. </w:t>
      </w:r>
    </w:p>
    <w:p w14:paraId="468439DF"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lastRenderedPageBreak/>
        <w:t xml:space="preserve">Aktuariefunktionen ansvarar för värdering av de försäkringstekniska avsättningarna. </w:t>
      </w:r>
    </w:p>
    <w:p w14:paraId="59ACEEC3"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21" w:name="_Toc390858790"/>
      <w:bookmarkStart w:id="22" w:name="_Toc407003328"/>
      <w:bookmarkStart w:id="23" w:name="_Toc425796926"/>
      <w:bookmarkStart w:id="24" w:name="_Toc428124005"/>
      <w:bookmarkStart w:id="25" w:name="_Toc373930289"/>
      <w:bookmarkEnd w:id="21"/>
      <w:r>
        <w:rPr>
          <w:rFonts w:asciiTheme="minorHAnsi" w:hAnsiTheme="minorHAnsi" w:cstheme="minorHAnsi"/>
          <w:sz w:val="24"/>
          <w:szCs w:val="24"/>
        </w:rPr>
        <w:tab/>
      </w:r>
      <w:r w:rsidRPr="00E800C5">
        <w:rPr>
          <w:rFonts w:asciiTheme="minorHAnsi" w:hAnsiTheme="minorHAnsi" w:cstheme="minorHAnsi"/>
          <w:sz w:val="24"/>
          <w:szCs w:val="24"/>
        </w:rPr>
        <w:t>Rapportering</w:t>
      </w:r>
      <w:bookmarkEnd w:id="22"/>
      <w:bookmarkEnd w:id="23"/>
      <w:bookmarkEnd w:id="24"/>
      <w:r w:rsidRPr="00E800C5">
        <w:rPr>
          <w:rFonts w:asciiTheme="minorHAnsi" w:hAnsiTheme="minorHAnsi" w:cstheme="minorHAnsi"/>
          <w:sz w:val="24"/>
          <w:szCs w:val="24"/>
        </w:rPr>
        <w:t xml:space="preserve"> </w:t>
      </w:r>
      <w:bookmarkEnd w:id="25"/>
    </w:p>
    <w:p w14:paraId="5A508502"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Intern rapportering av bolagets solvensbalansräkning och kapitalbas sker integrerat som en del av den interna risk- och kapitalkravsrapporteringen.</w:t>
      </w:r>
    </w:p>
    <w:p w14:paraId="5E0B7338"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Extern rapportering sker genom de kvantitativa rapporterna till Finansinspektionen och sammanfattas även i den Beskrivande Rapporten.</w:t>
      </w:r>
    </w:p>
    <w:p w14:paraId="78500ED8"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26" w:name="_Toc373930290"/>
      <w:bookmarkStart w:id="27" w:name="_Ref382377062"/>
      <w:bookmarkStart w:id="28" w:name="_Ref382377112"/>
      <w:bookmarkStart w:id="29" w:name="_Ref382377123"/>
      <w:bookmarkStart w:id="30" w:name="_Ref406753073"/>
      <w:bookmarkStart w:id="31" w:name="_Toc407003329"/>
      <w:bookmarkStart w:id="32" w:name="_Toc425796927"/>
      <w:bookmarkStart w:id="33" w:name="_Toc428124006"/>
      <w:r>
        <w:rPr>
          <w:rFonts w:asciiTheme="minorHAnsi" w:hAnsiTheme="minorHAnsi" w:cstheme="minorHAnsi"/>
          <w:sz w:val="24"/>
          <w:szCs w:val="24"/>
        </w:rPr>
        <w:tab/>
      </w:r>
      <w:r w:rsidRPr="00E800C5">
        <w:rPr>
          <w:rFonts w:asciiTheme="minorHAnsi" w:hAnsiTheme="minorHAnsi" w:cstheme="minorHAnsi"/>
          <w:sz w:val="24"/>
          <w:szCs w:val="24"/>
        </w:rPr>
        <w:t>Definitioner och terminologi</w:t>
      </w:r>
      <w:bookmarkEnd w:id="26"/>
      <w:bookmarkEnd w:id="27"/>
      <w:bookmarkEnd w:id="28"/>
      <w:bookmarkEnd w:id="29"/>
      <w:bookmarkEnd w:id="30"/>
      <w:bookmarkEnd w:id="31"/>
      <w:bookmarkEnd w:id="32"/>
      <w:bookmarkEnd w:id="33"/>
      <w:r w:rsidRPr="00E800C5">
        <w:rPr>
          <w:rFonts w:asciiTheme="minorHAnsi" w:hAnsiTheme="minorHAnsi" w:cstheme="minorHAnsi"/>
          <w:sz w:val="24"/>
          <w:szCs w:val="24"/>
        </w:rPr>
        <w:t xml:space="preserve"> </w:t>
      </w:r>
    </w:p>
    <w:p w14:paraId="32567D10"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Följande definitioner används i dokumentet:</w:t>
      </w:r>
    </w:p>
    <w:tbl>
      <w:tblPr>
        <w:tblStyle w:val="Standardtabell1"/>
        <w:tblW w:w="8363" w:type="dxa"/>
        <w:tblInd w:w="817" w:type="dxa"/>
        <w:tblLayout w:type="fixed"/>
        <w:tblLook w:val="04A0" w:firstRow="1" w:lastRow="0" w:firstColumn="1" w:lastColumn="0" w:noHBand="0" w:noVBand="1"/>
      </w:tblPr>
      <w:tblGrid>
        <w:gridCol w:w="2693"/>
        <w:gridCol w:w="5670"/>
      </w:tblGrid>
      <w:tr w:rsidR="00AF5926" w:rsidRPr="00E800C5" w14:paraId="7671638F" w14:textId="77777777" w:rsidTr="004373D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93" w:type="dxa"/>
            <w:tcBorders>
              <w:top w:val="single" w:sz="12" w:space="0" w:color="000000"/>
              <w:right w:val="nil"/>
            </w:tcBorders>
          </w:tcPr>
          <w:p w14:paraId="3B08ADBF" w14:textId="77777777" w:rsidR="00AF5926" w:rsidRPr="00E800C5" w:rsidRDefault="00AF5926" w:rsidP="00AF5926">
            <w:pPr>
              <w:pStyle w:val="Normaltindrag"/>
              <w:keepNext/>
              <w:keepLines/>
              <w:ind w:left="0" w:right="-2"/>
              <w:rPr>
                <w:rFonts w:asciiTheme="minorHAnsi" w:hAnsiTheme="minorHAnsi" w:cstheme="minorHAnsi"/>
                <w:szCs w:val="24"/>
              </w:rPr>
            </w:pPr>
            <w:bookmarkStart w:id="34" w:name="_GoBack"/>
            <w:r w:rsidRPr="00E800C5">
              <w:rPr>
                <w:rFonts w:asciiTheme="minorHAnsi" w:hAnsiTheme="minorHAnsi" w:cstheme="minorHAnsi"/>
                <w:szCs w:val="24"/>
              </w:rPr>
              <w:t>Term</w:t>
            </w:r>
          </w:p>
        </w:tc>
        <w:tc>
          <w:tcPr>
            <w:tcW w:w="5670" w:type="dxa"/>
            <w:tcBorders>
              <w:left w:val="nil"/>
            </w:tcBorders>
          </w:tcPr>
          <w:p w14:paraId="56FE578B" w14:textId="77777777" w:rsidR="00AF5926" w:rsidRPr="00E800C5" w:rsidRDefault="00AF5926" w:rsidP="00AF5926">
            <w:pPr>
              <w:pStyle w:val="Normaltindrag"/>
              <w:keepNext/>
              <w:keepLines/>
              <w:ind w:left="0" w:right="-2"/>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Definition</w:t>
            </w:r>
          </w:p>
        </w:tc>
      </w:tr>
      <w:tr w:rsidR="00AF5926" w:rsidRPr="00E800C5" w14:paraId="23E68153"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77054CA6" w14:textId="77777777" w:rsidR="00AF5926" w:rsidRPr="00E800C5" w:rsidRDefault="00AF5926" w:rsidP="00AF5926">
            <w:pPr>
              <w:pStyle w:val="Normaltindrag"/>
              <w:keepNext/>
              <w:keepLines/>
              <w:ind w:left="0" w:right="-2"/>
              <w:rPr>
                <w:rFonts w:asciiTheme="minorHAnsi" w:hAnsiTheme="minorHAnsi" w:cstheme="minorHAnsi"/>
                <w:szCs w:val="24"/>
              </w:rPr>
            </w:pPr>
          </w:p>
        </w:tc>
        <w:tc>
          <w:tcPr>
            <w:tcW w:w="5670" w:type="dxa"/>
            <w:tcBorders>
              <w:left w:val="nil"/>
            </w:tcBorders>
          </w:tcPr>
          <w:p w14:paraId="215A6522" w14:textId="77777777" w:rsidR="00AF5926" w:rsidRPr="00E800C5" w:rsidRDefault="00AF5926" w:rsidP="00AF5926">
            <w:pPr>
              <w:pStyle w:val="Normaltindrag"/>
              <w:keepNext/>
              <w:keepLines/>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AF5926" w:rsidRPr="00E800C5" w14:paraId="15C28238"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5CFC1AED" w14:textId="77777777" w:rsidR="00AF5926" w:rsidRPr="00E800C5" w:rsidRDefault="00AF5926" w:rsidP="00AF5926">
            <w:pPr>
              <w:pStyle w:val="Normaltindrag"/>
              <w:keepNext/>
              <w:keepLines/>
              <w:ind w:left="0" w:right="-2"/>
              <w:rPr>
                <w:rFonts w:asciiTheme="minorHAnsi" w:hAnsiTheme="minorHAnsi" w:cstheme="minorHAnsi"/>
                <w:szCs w:val="24"/>
              </w:rPr>
            </w:pPr>
            <w:proofErr w:type="spellStart"/>
            <w:r w:rsidRPr="00E800C5">
              <w:rPr>
                <w:rFonts w:asciiTheme="minorHAnsi" w:hAnsiTheme="minorHAnsi" w:cstheme="minorHAnsi"/>
                <w:szCs w:val="24"/>
              </w:rPr>
              <w:t>Eventualförpliktelse</w:t>
            </w:r>
            <w:proofErr w:type="spellEnd"/>
          </w:p>
        </w:tc>
        <w:tc>
          <w:tcPr>
            <w:tcW w:w="5670" w:type="dxa"/>
            <w:tcBorders>
              <w:left w:val="nil"/>
            </w:tcBorders>
          </w:tcPr>
          <w:p w14:paraId="4EA1E4C4" w14:textId="77777777" w:rsidR="00AF5926" w:rsidRPr="00E800C5" w:rsidRDefault="00AF5926" w:rsidP="00AF5926">
            <w:pPr>
              <w:pStyle w:val="Normaltindrag"/>
              <w:keepNext/>
              <w:keepLines/>
              <w:tabs>
                <w:tab w:val="left" w:pos="318"/>
              </w:tabs>
              <w:ind w:left="318" w:right="-2" w:hanging="3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 xml:space="preserve">(a) En möjlig förpliktelse som härrör från </w:t>
            </w:r>
            <w:proofErr w:type="spellStart"/>
            <w:r w:rsidRPr="00E800C5">
              <w:rPr>
                <w:rFonts w:asciiTheme="minorHAnsi" w:hAnsiTheme="minorHAnsi" w:cstheme="minorHAnsi"/>
                <w:szCs w:val="24"/>
              </w:rPr>
              <w:t>ointräffade</w:t>
            </w:r>
            <w:proofErr w:type="spellEnd"/>
            <w:r w:rsidRPr="00E800C5">
              <w:rPr>
                <w:rFonts w:asciiTheme="minorHAnsi" w:hAnsiTheme="minorHAnsi" w:cstheme="minorHAnsi"/>
                <w:szCs w:val="24"/>
              </w:rPr>
              <w:t xml:space="preserve"> händelser och vars förekomst kommer att betraktas endast av att en eller flera osäkra framtida händelser, som inte helt ligger inom företagets kontroll, inträffar eller uteblir, eller </w:t>
            </w:r>
          </w:p>
          <w:p w14:paraId="33D217E8" w14:textId="77777777" w:rsidR="00AF5926" w:rsidRPr="00E800C5" w:rsidRDefault="00AF5926" w:rsidP="00AF5926">
            <w:pPr>
              <w:pStyle w:val="Normaltindrag"/>
              <w:keepNext/>
              <w:keepLines/>
              <w:tabs>
                <w:tab w:val="left" w:pos="318"/>
              </w:tabs>
              <w:ind w:left="318" w:right="-2" w:hanging="318"/>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(b)</w:t>
            </w:r>
            <w:r w:rsidRPr="00E800C5">
              <w:rPr>
                <w:rFonts w:asciiTheme="minorHAnsi" w:hAnsiTheme="minorHAnsi" w:cstheme="minorHAnsi"/>
                <w:szCs w:val="24"/>
              </w:rPr>
              <w:tab/>
            </w:r>
            <w:r>
              <w:rPr>
                <w:rFonts w:asciiTheme="minorHAnsi" w:hAnsiTheme="minorHAnsi" w:cstheme="minorHAnsi"/>
                <w:szCs w:val="24"/>
              </w:rPr>
              <w:t>E</w:t>
            </w:r>
            <w:r w:rsidRPr="00E800C5">
              <w:rPr>
                <w:rFonts w:asciiTheme="minorHAnsi" w:hAnsiTheme="minorHAnsi" w:cstheme="minorHAnsi"/>
                <w:szCs w:val="24"/>
              </w:rPr>
              <w:t xml:space="preserve">n befintlig förpliktelse som härrör från inträffade händelser, men som inte redovisas som skuld eller avsättning eftersom </w:t>
            </w:r>
          </w:p>
          <w:p w14:paraId="1DEBFDEB" w14:textId="77777777" w:rsidR="00AF5926" w:rsidRPr="00E800C5" w:rsidRDefault="00AF5926" w:rsidP="00AF5926">
            <w:pPr>
              <w:pStyle w:val="Normaltindrag"/>
              <w:keepNext/>
              <w:keepLines/>
              <w:numPr>
                <w:ilvl w:val="0"/>
                <w:numId w:val="23"/>
              </w:numPr>
              <w:tabs>
                <w:tab w:val="left" w:pos="601"/>
              </w:tabs>
              <w:ind w:left="601" w:right="-2"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 xml:space="preserve">det inte är sannolikt att ett utflöde av resurser kommer att krävas för att reglera förpliktelsen, eller </w:t>
            </w:r>
          </w:p>
          <w:p w14:paraId="0178E3A9" w14:textId="77777777" w:rsidR="00AF5926" w:rsidRPr="00E800C5" w:rsidRDefault="00AF5926" w:rsidP="00AF5926">
            <w:pPr>
              <w:pStyle w:val="Normaltindrag"/>
              <w:keepNext/>
              <w:keepLines/>
              <w:numPr>
                <w:ilvl w:val="0"/>
                <w:numId w:val="23"/>
              </w:numPr>
              <w:tabs>
                <w:tab w:val="left" w:pos="601"/>
              </w:tabs>
              <w:ind w:left="601" w:right="-2" w:hanging="283"/>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 xml:space="preserve">Förpliktelsens storlek inte kan beräknas med </w:t>
            </w:r>
            <w:proofErr w:type="gramStart"/>
            <w:r w:rsidRPr="00E800C5">
              <w:rPr>
                <w:rFonts w:asciiTheme="minorHAnsi" w:hAnsiTheme="minorHAnsi" w:cstheme="minorHAnsi"/>
                <w:szCs w:val="24"/>
              </w:rPr>
              <w:t>tillräckligt tillförlitlighet</w:t>
            </w:r>
            <w:proofErr w:type="gramEnd"/>
            <w:r w:rsidRPr="00E800C5">
              <w:rPr>
                <w:rFonts w:asciiTheme="minorHAnsi" w:hAnsiTheme="minorHAnsi" w:cstheme="minorHAnsi"/>
                <w:szCs w:val="24"/>
              </w:rPr>
              <w:t>.</w:t>
            </w:r>
          </w:p>
        </w:tc>
      </w:tr>
      <w:tr w:rsidR="00AF5926" w:rsidRPr="00E800C5" w14:paraId="292050E7"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620A5E2F" w14:textId="77777777" w:rsidR="00AF5926" w:rsidRPr="00E800C5" w:rsidRDefault="00AF5926" w:rsidP="00AF5926">
            <w:pPr>
              <w:pStyle w:val="Normaltindrag"/>
              <w:keepLines/>
              <w:ind w:left="0" w:right="-2"/>
              <w:rPr>
                <w:rFonts w:asciiTheme="minorHAnsi" w:hAnsiTheme="minorHAnsi" w:cstheme="minorHAnsi"/>
                <w:szCs w:val="24"/>
              </w:rPr>
            </w:pPr>
            <w:proofErr w:type="spellStart"/>
            <w:proofErr w:type="gramStart"/>
            <w:r w:rsidRPr="00E800C5">
              <w:rPr>
                <w:rFonts w:asciiTheme="minorHAnsi" w:hAnsiTheme="minorHAnsi" w:cstheme="minorHAnsi"/>
                <w:szCs w:val="24"/>
              </w:rPr>
              <w:t>IFRSs</w:t>
            </w:r>
            <w:proofErr w:type="spellEnd"/>
            <w:r w:rsidRPr="00E800C5">
              <w:rPr>
                <w:rFonts w:asciiTheme="minorHAnsi" w:hAnsiTheme="minorHAnsi" w:cstheme="minorHAnsi"/>
                <w:szCs w:val="24"/>
              </w:rPr>
              <w:t>(</w:t>
            </w:r>
            <w:proofErr w:type="gramEnd"/>
            <w:r w:rsidRPr="00E800C5">
              <w:rPr>
                <w:rFonts w:asciiTheme="minorHAnsi" w:hAnsiTheme="minorHAnsi" w:cstheme="minorHAnsi"/>
                <w:szCs w:val="24"/>
              </w:rPr>
              <w:t>EU)</w:t>
            </w:r>
          </w:p>
        </w:tc>
        <w:tc>
          <w:tcPr>
            <w:tcW w:w="5670" w:type="dxa"/>
            <w:tcBorders>
              <w:left w:val="nil"/>
            </w:tcBorders>
          </w:tcPr>
          <w:p w14:paraId="42CC0D20" w14:textId="77777777" w:rsidR="00AF5926" w:rsidRPr="00E800C5" w:rsidRDefault="00AF5926" w:rsidP="00AF5926">
            <w:pPr>
              <w:pStyle w:val="Normaltindrag"/>
              <w:keepLines/>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 xml:space="preserve">International </w:t>
            </w:r>
            <w:proofErr w:type="spellStart"/>
            <w:r w:rsidRPr="00E800C5">
              <w:rPr>
                <w:rFonts w:asciiTheme="minorHAnsi" w:hAnsiTheme="minorHAnsi" w:cstheme="minorHAnsi"/>
                <w:szCs w:val="24"/>
              </w:rPr>
              <w:t>Financial</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Reporting</w:t>
            </w:r>
            <w:proofErr w:type="spellEnd"/>
            <w:r w:rsidRPr="00E800C5">
              <w:rPr>
                <w:rFonts w:asciiTheme="minorHAnsi" w:hAnsiTheme="minorHAnsi" w:cstheme="minorHAnsi"/>
                <w:szCs w:val="24"/>
              </w:rPr>
              <w:t xml:space="preserve"> Standards, utgiven av International </w:t>
            </w:r>
            <w:proofErr w:type="spellStart"/>
            <w:r w:rsidRPr="00E800C5">
              <w:rPr>
                <w:rFonts w:asciiTheme="minorHAnsi" w:hAnsiTheme="minorHAnsi" w:cstheme="minorHAnsi"/>
                <w:szCs w:val="24"/>
              </w:rPr>
              <w:t>Accounting</w:t>
            </w:r>
            <w:proofErr w:type="spellEnd"/>
            <w:r w:rsidRPr="00E800C5">
              <w:rPr>
                <w:rFonts w:asciiTheme="minorHAnsi" w:hAnsiTheme="minorHAnsi" w:cstheme="minorHAnsi"/>
                <w:szCs w:val="24"/>
              </w:rPr>
              <w:t xml:space="preserve"> Standards Board (IASB), och godkänt för användning i den Europeiska Unionen av den Europeiska Kommissionen i </w:t>
            </w:r>
            <w:proofErr w:type="gramStart"/>
            <w:r w:rsidRPr="00E800C5">
              <w:rPr>
                <w:rFonts w:asciiTheme="minorHAnsi" w:hAnsiTheme="minorHAnsi" w:cstheme="minorHAnsi"/>
                <w:szCs w:val="24"/>
              </w:rPr>
              <w:t>enlighet  med</w:t>
            </w:r>
            <w:proofErr w:type="gramEnd"/>
            <w:r w:rsidRPr="00E800C5">
              <w:rPr>
                <w:rFonts w:asciiTheme="minorHAnsi" w:hAnsiTheme="minorHAnsi" w:cstheme="minorHAnsi"/>
                <w:szCs w:val="24"/>
              </w:rPr>
              <w:t xml:space="preserve"> Förordning (EG) nr 1606/2002 om tillämpning av internationella redovisningsstandarder.</w:t>
            </w:r>
          </w:p>
        </w:tc>
      </w:tr>
      <w:tr w:rsidR="00AF5926" w:rsidRPr="00E800C5" w14:paraId="08BC573A"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57CC844F" w14:textId="77777777" w:rsidR="00AF5926" w:rsidRPr="00E800C5" w:rsidRDefault="00AF5926" w:rsidP="00AF5926">
            <w:pPr>
              <w:pStyle w:val="Normaltindrag"/>
              <w:keepLines/>
              <w:ind w:left="0" w:right="-2"/>
              <w:rPr>
                <w:rFonts w:asciiTheme="minorHAnsi" w:hAnsiTheme="minorHAnsi" w:cstheme="minorHAnsi"/>
                <w:szCs w:val="24"/>
              </w:rPr>
            </w:pPr>
            <w:r w:rsidRPr="00E800C5">
              <w:rPr>
                <w:rFonts w:asciiTheme="minorHAnsi" w:hAnsiTheme="minorHAnsi" w:cstheme="minorHAnsi"/>
                <w:szCs w:val="24"/>
              </w:rPr>
              <w:t>IFRS-balansräkning</w:t>
            </w:r>
          </w:p>
        </w:tc>
        <w:tc>
          <w:tcPr>
            <w:tcW w:w="5670" w:type="dxa"/>
            <w:tcBorders>
              <w:left w:val="nil"/>
            </w:tcBorders>
          </w:tcPr>
          <w:p w14:paraId="5BFCB519" w14:textId="77777777" w:rsidR="00AF5926" w:rsidRPr="00E800C5" w:rsidRDefault="00AF5926" w:rsidP="00AF5926">
            <w:pPr>
              <w:pStyle w:val="Normaltindrag"/>
              <w:keepLines/>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Bolagets redovisningsbalansräkning i juridisk person, som tas fram enligt lagbegränsad IFRS.</w:t>
            </w:r>
          </w:p>
        </w:tc>
      </w:tr>
      <w:tr w:rsidR="00AF5926" w:rsidRPr="00E800C5" w14:paraId="5EE415E9"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3C6B0910" w14:textId="77777777" w:rsidR="00AF5926" w:rsidRPr="00E800C5" w:rsidRDefault="00AF5926" w:rsidP="00AF5926">
            <w:pPr>
              <w:pStyle w:val="Normaltindrag"/>
              <w:ind w:left="0" w:right="-2"/>
              <w:rPr>
                <w:rFonts w:asciiTheme="minorHAnsi" w:hAnsiTheme="minorHAnsi" w:cstheme="minorHAnsi"/>
                <w:szCs w:val="24"/>
              </w:rPr>
            </w:pPr>
          </w:p>
        </w:tc>
        <w:tc>
          <w:tcPr>
            <w:tcW w:w="5670" w:type="dxa"/>
            <w:tcBorders>
              <w:left w:val="nil"/>
            </w:tcBorders>
          </w:tcPr>
          <w:p w14:paraId="71477F1B" w14:textId="77777777" w:rsidR="00AF5926" w:rsidRPr="00E800C5" w:rsidRDefault="00AF5926" w:rsidP="00AF5926">
            <w:pPr>
              <w:pStyle w:val="Normaltindrag"/>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AF5926" w:rsidRPr="00E800C5" w14:paraId="07F88AE3"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6F296315" w14:textId="77777777" w:rsidR="00AF5926" w:rsidRPr="00E800C5" w:rsidRDefault="00AF5926" w:rsidP="00AF5926">
            <w:pPr>
              <w:pStyle w:val="Normaltindrag"/>
              <w:ind w:left="0" w:right="-2"/>
              <w:rPr>
                <w:rFonts w:asciiTheme="minorHAnsi" w:hAnsiTheme="minorHAnsi" w:cstheme="minorHAnsi"/>
                <w:szCs w:val="24"/>
              </w:rPr>
            </w:pPr>
          </w:p>
        </w:tc>
        <w:tc>
          <w:tcPr>
            <w:tcW w:w="5670" w:type="dxa"/>
            <w:tcBorders>
              <w:left w:val="nil"/>
            </w:tcBorders>
          </w:tcPr>
          <w:p w14:paraId="21CB1BDC" w14:textId="77777777" w:rsidR="00AF5926" w:rsidRPr="00E800C5" w:rsidRDefault="00AF5926" w:rsidP="00AF5926">
            <w:pPr>
              <w:pStyle w:val="Normaltindrag"/>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p>
        </w:tc>
      </w:tr>
      <w:tr w:rsidR="00AF5926" w:rsidRPr="00E800C5" w14:paraId="1D4E3C34"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right w:val="nil"/>
            </w:tcBorders>
          </w:tcPr>
          <w:p w14:paraId="64F4D046" w14:textId="77777777" w:rsidR="00AF5926" w:rsidRPr="00E800C5" w:rsidRDefault="00AF5926" w:rsidP="00AF5926">
            <w:pPr>
              <w:pStyle w:val="Normaltindrag"/>
              <w:ind w:left="0" w:right="-2"/>
              <w:rPr>
                <w:rFonts w:asciiTheme="minorHAnsi" w:hAnsiTheme="minorHAnsi" w:cstheme="minorHAnsi"/>
                <w:szCs w:val="24"/>
              </w:rPr>
            </w:pPr>
            <w:r w:rsidRPr="00E800C5">
              <w:rPr>
                <w:rFonts w:asciiTheme="minorHAnsi" w:hAnsiTheme="minorHAnsi" w:cstheme="minorHAnsi"/>
                <w:szCs w:val="24"/>
              </w:rPr>
              <w:t>Värderingsmetod</w:t>
            </w:r>
          </w:p>
        </w:tc>
        <w:tc>
          <w:tcPr>
            <w:tcW w:w="5670" w:type="dxa"/>
            <w:tcBorders>
              <w:left w:val="nil"/>
            </w:tcBorders>
          </w:tcPr>
          <w:p w14:paraId="1EE6F4E8" w14:textId="77777777" w:rsidR="00AF5926" w:rsidRPr="00E800C5" w:rsidRDefault="00AF5926" w:rsidP="00AF5926">
            <w:pPr>
              <w:pStyle w:val="Normaltindrag"/>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Explicit metod eller teknik som används för att beräkna värdet av en balansräkningspost.</w:t>
            </w:r>
          </w:p>
        </w:tc>
      </w:tr>
      <w:tr w:rsidR="00AF5926" w:rsidRPr="00E800C5" w14:paraId="7B5CFE2F" w14:textId="77777777" w:rsidTr="004373DB">
        <w:tc>
          <w:tcPr>
            <w:cnfStyle w:val="001000000000" w:firstRow="0" w:lastRow="0" w:firstColumn="1" w:lastColumn="0" w:oddVBand="0" w:evenVBand="0" w:oddHBand="0" w:evenHBand="0" w:firstRowFirstColumn="0" w:firstRowLastColumn="0" w:lastRowFirstColumn="0" w:lastRowLastColumn="0"/>
            <w:tcW w:w="2693" w:type="dxa"/>
            <w:tcBorders>
              <w:bottom w:val="single" w:sz="12" w:space="0" w:color="000000"/>
              <w:right w:val="nil"/>
            </w:tcBorders>
          </w:tcPr>
          <w:p w14:paraId="5D685B26" w14:textId="77777777" w:rsidR="00AF5926" w:rsidRPr="00E800C5" w:rsidRDefault="00AF5926" w:rsidP="00AF5926">
            <w:pPr>
              <w:pStyle w:val="Normaltindrag"/>
              <w:ind w:left="0" w:right="-2"/>
              <w:rPr>
                <w:rFonts w:asciiTheme="minorHAnsi" w:hAnsiTheme="minorHAnsi" w:cstheme="minorHAnsi"/>
                <w:szCs w:val="24"/>
              </w:rPr>
            </w:pPr>
            <w:r w:rsidRPr="00E800C5">
              <w:rPr>
                <w:rFonts w:asciiTheme="minorHAnsi" w:hAnsiTheme="minorHAnsi" w:cstheme="minorHAnsi"/>
                <w:szCs w:val="24"/>
              </w:rPr>
              <w:lastRenderedPageBreak/>
              <w:t>Värderingsprincip</w:t>
            </w:r>
          </w:p>
        </w:tc>
        <w:tc>
          <w:tcPr>
            <w:tcW w:w="5670" w:type="dxa"/>
            <w:tcBorders>
              <w:left w:val="nil"/>
            </w:tcBorders>
          </w:tcPr>
          <w:p w14:paraId="077DACDB" w14:textId="77777777" w:rsidR="00AF5926" w:rsidRPr="00E800C5" w:rsidRDefault="00AF5926" w:rsidP="00AF5926">
            <w:pPr>
              <w:pStyle w:val="Normaltindrag"/>
              <w:ind w:left="0" w:right="-2"/>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Cs w:val="24"/>
              </w:rPr>
            </w:pPr>
            <w:r w:rsidRPr="00E800C5">
              <w:rPr>
                <w:rFonts w:asciiTheme="minorHAnsi" w:hAnsiTheme="minorHAnsi" w:cstheme="minorHAnsi"/>
                <w:szCs w:val="24"/>
              </w:rPr>
              <w:t>Övergripande princip som beskriver hur en balansräkningspost ska värderas.</w:t>
            </w:r>
          </w:p>
        </w:tc>
      </w:tr>
      <w:bookmarkEnd w:id="34"/>
    </w:tbl>
    <w:p w14:paraId="39904CDB" w14:textId="2BEFA5EE" w:rsidR="00AF5926" w:rsidRDefault="00AF5926" w:rsidP="00AF5926">
      <w:pPr>
        <w:pStyle w:val="Normaltindrag"/>
        <w:ind w:right="-2"/>
        <w:rPr>
          <w:rFonts w:asciiTheme="minorHAnsi" w:hAnsiTheme="minorHAnsi" w:cstheme="minorHAnsi"/>
          <w:szCs w:val="24"/>
        </w:rPr>
      </w:pPr>
    </w:p>
    <w:p w14:paraId="23BD5D2D" w14:textId="32AC464A" w:rsidR="0062068E" w:rsidRDefault="0062068E" w:rsidP="00AF5926">
      <w:pPr>
        <w:pStyle w:val="Normaltindrag"/>
        <w:ind w:right="-2"/>
        <w:rPr>
          <w:rFonts w:asciiTheme="minorHAnsi" w:hAnsiTheme="minorHAnsi" w:cstheme="minorHAnsi"/>
          <w:szCs w:val="24"/>
        </w:rPr>
      </w:pPr>
    </w:p>
    <w:p w14:paraId="577C99CC" w14:textId="77777777" w:rsidR="0062068E" w:rsidRPr="00E800C5" w:rsidRDefault="0062068E" w:rsidP="0062068E">
      <w:pPr>
        <w:pStyle w:val="Rubrik1"/>
        <w:pageBreakBefore/>
        <w:tabs>
          <w:tab w:val="left" w:pos="709"/>
        </w:tabs>
        <w:spacing w:before="240" w:after="60" w:line="276" w:lineRule="auto"/>
        <w:ind w:left="709" w:right="-2" w:hanging="709"/>
        <w:rPr>
          <w:rFonts w:asciiTheme="minorHAnsi" w:hAnsiTheme="minorHAnsi" w:cstheme="minorHAnsi"/>
          <w:sz w:val="24"/>
          <w:szCs w:val="24"/>
        </w:rPr>
      </w:pPr>
      <w:bookmarkStart w:id="35" w:name="_Toc373930295"/>
      <w:bookmarkStart w:id="36" w:name="_Toc372613331"/>
      <w:bookmarkStart w:id="37" w:name="_Toc407003330"/>
      <w:bookmarkStart w:id="38" w:name="_Toc425796928"/>
      <w:bookmarkStart w:id="39" w:name="_Toc428124007"/>
      <w:r>
        <w:rPr>
          <w:rFonts w:asciiTheme="minorHAnsi" w:hAnsiTheme="minorHAnsi" w:cstheme="minorHAnsi"/>
          <w:sz w:val="24"/>
          <w:szCs w:val="24"/>
        </w:rPr>
        <w:lastRenderedPageBreak/>
        <w:t>V</w:t>
      </w:r>
      <w:r w:rsidRPr="00E800C5">
        <w:rPr>
          <w:rFonts w:asciiTheme="minorHAnsi" w:hAnsiTheme="minorHAnsi" w:cstheme="minorHAnsi"/>
          <w:sz w:val="24"/>
          <w:szCs w:val="24"/>
        </w:rPr>
        <w:t>ärdering av tillgångar och skulder</w:t>
      </w:r>
      <w:bookmarkEnd w:id="36"/>
      <w:bookmarkEnd w:id="37"/>
      <w:bookmarkEnd w:id="38"/>
      <w:bookmarkEnd w:id="39"/>
    </w:p>
    <w:p w14:paraId="62251C25" w14:textId="77777777" w:rsidR="0062068E" w:rsidRPr="00E800C5" w:rsidRDefault="0062068E" w:rsidP="0062068E">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40" w:name="_Toc372613332"/>
      <w:bookmarkStart w:id="41" w:name="_Ref382377084"/>
      <w:bookmarkStart w:id="42" w:name="_Ref382381939"/>
      <w:bookmarkStart w:id="43" w:name="_Ref382481167"/>
      <w:bookmarkStart w:id="44" w:name="_Ref383523631"/>
      <w:bookmarkStart w:id="45" w:name="_Ref406753537"/>
      <w:bookmarkStart w:id="46" w:name="_Toc407003331"/>
      <w:bookmarkStart w:id="47" w:name="_Toc425796929"/>
      <w:bookmarkStart w:id="48" w:name="_Toc428124008"/>
      <w:r>
        <w:rPr>
          <w:rFonts w:asciiTheme="minorHAnsi" w:hAnsiTheme="minorHAnsi" w:cstheme="minorHAnsi"/>
          <w:sz w:val="24"/>
          <w:szCs w:val="24"/>
        </w:rPr>
        <w:tab/>
      </w:r>
      <w:r w:rsidRPr="00E800C5">
        <w:rPr>
          <w:rFonts w:asciiTheme="minorHAnsi" w:hAnsiTheme="minorHAnsi" w:cstheme="minorHAnsi"/>
          <w:sz w:val="24"/>
          <w:szCs w:val="24"/>
        </w:rPr>
        <w:t>Generella värderingsprinciper</w:t>
      </w:r>
      <w:bookmarkEnd w:id="40"/>
      <w:bookmarkEnd w:id="41"/>
      <w:bookmarkEnd w:id="42"/>
      <w:bookmarkEnd w:id="43"/>
      <w:bookmarkEnd w:id="44"/>
      <w:bookmarkEnd w:id="45"/>
      <w:bookmarkEnd w:id="46"/>
      <w:bookmarkEnd w:id="47"/>
      <w:bookmarkEnd w:id="48"/>
    </w:p>
    <w:p w14:paraId="44B5AD01" w14:textId="77777777" w:rsidR="0062068E" w:rsidRPr="00E800C5" w:rsidRDefault="0062068E" w:rsidP="0062068E">
      <w:pPr>
        <w:pStyle w:val="Normaltindrag"/>
        <w:ind w:right="-2"/>
        <w:rPr>
          <w:rFonts w:asciiTheme="minorHAnsi" w:hAnsiTheme="minorHAnsi" w:cstheme="minorHAnsi"/>
          <w:szCs w:val="24"/>
        </w:rPr>
      </w:pPr>
      <w:r w:rsidRPr="00E800C5">
        <w:rPr>
          <w:rFonts w:asciiTheme="minorHAnsi" w:hAnsiTheme="minorHAnsi" w:cstheme="minorHAnsi"/>
          <w:szCs w:val="24"/>
        </w:rPr>
        <w:t xml:space="preserve">Bolagets tillgångar och skulder i bolagets solvensbalansräkning ska beräknas i enlighet med kraven och vägledning som utfärdats i form av relaterade lagar och regelverk vid varje gällande tidpunkt. </w:t>
      </w:r>
    </w:p>
    <w:p w14:paraId="08BAD8FB" w14:textId="77777777" w:rsidR="0062068E" w:rsidRPr="00E800C5" w:rsidRDefault="0062068E" w:rsidP="0062068E">
      <w:pPr>
        <w:pStyle w:val="Normaltindrag"/>
        <w:ind w:right="-2"/>
        <w:rPr>
          <w:rFonts w:asciiTheme="minorHAnsi" w:hAnsiTheme="minorHAnsi" w:cstheme="minorHAnsi"/>
          <w:szCs w:val="24"/>
        </w:rPr>
      </w:pPr>
      <w:r w:rsidRPr="00E800C5">
        <w:rPr>
          <w:rFonts w:asciiTheme="minorHAnsi" w:hAnsiTheme="minorHAnsi" w:cstheme="minorHAnsi"/>
          <w:szCs w:val="24"/>
        </w:rPr>
        <w:t>I enlighet med dessa lagar och regelverk ska Bolaget värdera tillgångar och skulder enligt följande principer:</w:t>
      </w:r>
    </w:p>
    <w:p w14:paraId="0322D1F4" w14:textId="77777777" w:rsidR="0062068E" w:rsidRPr="00E800C5" w:rsidRDefault="0062068E" w:rsidP="0062068E">
      <w:pPr>
        <w:pStyle w:val="Normaltindrag"/>
        <w:ind w:left="1134" w:right="-2" w:hanging="425"/>
        <w:rPr>
          <w:rFonts w:asciiTheme="minorHAnsi" w:hAnsiTheme="minorHAnsi" w:cstheme="minorHAnsi"/>
          <w:szCs w:val="24"/>
        </w:rPr>
      </w:pPr>
      <w:r w:rsidRPr="00E800C5">
        <w:rPr>
          <w:rFonts w:asciiTheme="minorHAnsi" w:hAnsiTheme="minorHAnsi" w:cstheme="minorHAnsi"/>
          <w:szCs w:val="24"/>
        </w:rPr>
        <w:t xml:space="preserve">(a) </w:t>
      </w:r>
      <w:r w:rsidRPr="00E800C5">
        <w:rPr>
          <w:rFonts w:asciiTheme="minorHAnsi" w:hAnsiTheme="minorHAnsi" w:cstheme="minorHAnsi"/>
          <w:szCs w:val="24"/>
        </w:rPr>
        <w:tab/>
        <w:t>Tillgångar ska värderas till det belopp för vilket de skulle kunna utväxlas i en transaktion mellan kunniga parter som är oberoende av varandra och har ett intresse av att transaktionen genomförs.</w:t>
      </w:r>
    </w:p>
    <w:p w14:paraId="69DD3D07" w14:textId="77777777" w:rsidR="0062068E" w:rsidRPr="00E800C5" w:rsidRDefault="0062068E" w:rsidP="0062068E">
      <w:pPr>
        <w:pStyle w:val="Normaltindrag"/>
        <w:ind w:left="1134" w:right="-2" w:hanging="425"/>
        <w:rPr>
          <w:rFonts w:asciiTheme="minorHAnsi" w:hAnsiTheme="minorHAnsi" w:cstheme="minorHAnsi"/>
          <w:szCs w:val="24"/>
        </w:rPr>
      </w:pPr>
      <w:r w:rsidRPr="00E800C5">
        <w:rPr>
          <w:rFonts w:asciiTheme="minorHAnsi" w:hAnsiTheme="minorHAnsi" w:cstheme="minorHAnsi"/>
          <w:szCs w:val="24"/>
        </w:rPr>
        <w:t>(b)</w:t>
      </w:r>
      <w:r w:rsidRPr="00E800C5">
        <w:rPr>
          <w:rFonts w:asciiTheme="minorHAnsi" w:hAnsiTheme="minorHAnsi" w:cstheme="minorHAnsi"/>
          <w:szCs w:val="24"/>
        </w:rPr>
        <w:tab/>
        <w:t>Skulder ska värderas till det belopp för vilket de skulle kunna överlåtas eller regleras i en transaktion mellan kunniga parter som är oberoende av varandra och har ett intresse att transaktionen genomförs.</w:t>
      </w:r>
    </w:p>
    <w:p w14:paraId="677B2902" w14:textId="77777777" w:rsidR="0062068E" w:rsidRPr="00E800C5" w:rsidRDefault="0062068E" w:rsidP="0062068E">
      <w:pPr>
        <w:pStyle w:val="Normaltindrag"/>
        <w:ind w:right="-2"/>
        <w:rPr>
          <w:rFonts w:asciiTheme="minorHAnsi" w:hAnsiTheme="minorHAnsi" w:cstheme="minorHAnsi"/>
          <w:szCs w:val="24"/>
        </w:rPr>
      </w:pPr>
      <w:r w:rsidRPr="00E800C5">
        <w:rPr>
          <w:rFonts w:asciiTheme="minorHAnsi" w:hAnsiTheme="minorHAnsi" w:cstheme="minorHAnsi"/>
          <w:szCs w:val="24"/>
        </w:rPr>
        <w:t>Värderingsprincipen som beskrivs under punkter (a) och (b) benämns i det vidare dokumentet sammanfattningsvis ”transaktionsvärde”.</w:t>
      </w:r>
    </w:p>
    <w:p w14:paraId="7AE11F0B" w14:textId="77777777" w:rsidR="0062068E" w:rsidRPr="00E800C5" w:rsidRDefault="0062068E" w:rsidP="0062068E">
      <w:pPr>
        <w:pStyle w:val="Normaltindrag"/>
        <w:ind w:right="-2"/>
        <w:rPr>
          <w:rFonts w:asciiTheme="minorHAnsi" w:hAnsiTheme="minorHAnsi" w:cstheme="minorHAnsi"/>
          <w:szCs w:val="24"/>
        </w:rPr>
      </w:pPr>
      <w:r w:rsidRPr="00E800C5">
        <w:rPr>
          <w:rFonts w:asciiTheme="minorHAnsi" w:hAnsiTheme="minorHAnsi" w:cstheme="minorHAnsi"/>
          <w:szCs w:val="24"/>
        </w:rPr>
        <w:t>Värderingar ska genomföras enligt följande punkter:</w:t>
      </w:r>
    </w:p>
    <w:p w14:paraId="2970E9BA" w14:textId="77777777" w:rsidR="0062068E" w:rsidRPr="00E800C5" w:rsidRDefault="0062068E" w:rsidP="0062068E">
      <w:pPr>
        <w:pStyle w:val="Normaltindrag"/>
        <w:ind w:left="1134" w:right="-2" w:hanging="425"/>
        <w:rPr>
          <w:rFonts w:asciiTheme="minorHAnsi" w:hAnsiTheme="minorHAnsi" w:cstheme="minorHAnsi"/>
          <w:szCs w:val="24"/>
        </w:rPr>
      </w:pPr>
      <w:r w:rsidRPr="00E800C5">
        <w:rPr>
          <w:rFonts w:asciiTheme="minorHAnsi" w:hAnsiTheme="minorHAnsi" w:cstheme="minorHAnsi"/>
          <w:szCs w:val="24"/>
        </w:rPr>
        <w:t>(1)</w:t>
      </w:r>
      <w:r w:rsidRPr="00E800C5">
        <w:rPr>
          <w:rFonts w:asciiTheme="minorHAnsi" w:hAnsiTheme="minorHAnsi" w:cstheme="minorHAnsi"/>
          <w:szCs w:val="24"/>
        </w:rPr>
        <w:tab/>
        <w:t xml:space="preserve">Som generell </w:t>
      </w:r>
      <w:r w:rsidRPr="00E800C5">
        <w:rPr>
          <w:rFonts w:asciiTheme="minorHAnsi" w:hAnsiTheme="minorHAnsi" w:cstheme="minorHAnsi"/>
          <w:szCs w:val="24"/>
          <w:u w:val="single"/>
        </w:rPr>
        <w:t>huvudprincip</w:t>
      </w:r>
      <w:r w:rsidRPr="00E800C5">
        <w:rPr>
          <w:rFonts w:asciiTheme="minorHAnsi" w:hAnsiTheme="minorHAnsi" w:cstheme="minorHAnsi"/>
          <w:szCs w:val="24"/>
        </w:rPr>
        <w:t xml:space="preserve"> ska värdering av tillgångar och skulder – förutom där Solvens 2 regelverket anger explicita </w:t>
      </w:r>
      <w:proofErr w:type="spellStart"/>
      <w:r w:rsidRPr="00E800C5">
        <w:rPr>
          <w:rFonts w:asciiTheme="minorHAnsi" w:hAnsiTheme="minorHAnsi" w:cstheme="minorHAnsi"/>
          <w:szCs w:val="24"/>
        </w:rPr>
        <w:t>värderingsreglerske</w:t>
      </w:r>
      <w:proofErr w:type="spellEnd"/>
      <w:r w:rsidRPr="00E800C5">
        <w:rPr>
          <w:rFonts w:asciiTheme="minorHAnsi" w:hAnsiTheme="minorHAnsi" w:cstheme="minorHAnsi"/>
          <w:szCs w:val="24"/>
        </w:rPr>
        <w:t xml:space="preserve"> i enlighet med av EU godkända internationella redovisningsregler (International </w:t>
      </w:r>
      <w:proofErr w:type="spellStart"/>
      <w:r w:rsidRPr="00E800C5">
        <w:rPr>
          <w:rFonts w:asciiTheme="minorHAnsi" w:hAnsiTheme="minorHAnsi" w:cstheme="minorHAnsi"/>
          <w:szCs w:val="24"/>
        </w:rPr>
        <w:t>Financial</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Reporting</w:t>
      </w:r>
      <w:proofErr w:type="spellEnd"/>
      <w:r w:rsidRPr="00E800C5">
        <w:rPr>
          <w:rFonts w:asciiTheme="minorHAnsi" w:hAnsiTheme="minorHAnsi" w:cstheme="minorHAnsi"/>
          <w:szCs w:val="24"/>
        </w:rPr>
        <w:t xml:space="preserve"> Standards, </w:t>
      </w:r>
      <w:proofErr w:type="spellStart"/>
      <w:proofErr w:type="gramStart"/>
      <w:r w:rsidRPr="00E800C5">
        <w:rPr>
          <w:rFonts w:asciiTheme="minorHAnsi" w:hAnsiTheme="minorHAnsi" w:cstheme="minorHAnsi"/>
          <w:szCs w:val="24"/>
        </w:rPr>
        <w:t>IFRSs</w:t>
      </w:r>
      <w:proofErr w:type="spellEnd"/>
      <w:r w:rsidRPr="00E800C5">
        <w:rPr>
          <w:rFonts w:asciiTheme="minorHAnsi" w:hAnsiTheme="minorHAnsi" w:cstheme="minorHAnsi"/>
          <w:szCs w:val="24"/>
        </w:rPr>
        <w:t>(</w:t>
      </w:r>
      <w:proofErr w:type="gramEnd"/>
      <w:r w:rsidRPr="00E800C5">
        <w:rPr>
          <w:rFonts w:asciiTheme="minorHAnsi" w:hAnsiTheme="minorHAnsi" w:cstheme="minorHAnsi"/>
          <w:szCs w:val="24"/>
        </w:rPr>
        <w:t>EU)), under förutsättning att dessa standards omfattar värderingsmetoder som är överensstämmande med värderingsprincipen transaktionsvärde (2)</w:t>
      </w:r>
      <w:r w:rsidRPr="00E800C5">
        <w:rPr>
          <w:rFonts w:asciiTheme="minorHAnsi" w:hAnsiTheme="minorHAnsi" w:cstheme="minorHAnsi"/>
          <w:szCs w:val="24"/>
        </w:rPr>
        <w:tab/>
        <w:t>Individuella tillgångar och skulder ska värderas separat.</w:t>
      </w:r>
    </w:p>
    <w:p w14:paraId="6BC33A71" w14:textId="77777777" w:rsidR="0062068E" w:rsidRPr="00E800C5" w:rsidRDefault="0062068E" w:rsidP="0062068E">
      <w:pPr>
        <w:pStyle w:val="Normaltindrag"/>
        <w:ind w:left="1134" w:right="-2" w:hanging="425"/>
        <w:rPr>
          <w:rFonts w:asciiTheme="minorHAnsi" w:hAnsiTheme="minorHAnsi" w:cstheme="minorHAnsi"/>
          <w:szCs w:val="24"/>
        </w:rPr>
      </w:pPr>
      <w:r w:rsidRPr="00E800C5">
        <w:rPr>
          <w:rFonts w:asciiTheme="minorHAnsi" w:hAnsiTheme="minorHAnsi" w:cstheme="minorHAnsi"/>
          <w:szCs w:val="24"/>
        </w:rPr>
        <w:t>(3)</w:t>
      </w:r>
      <w:r w:rsidRPr="00E800C5">
        <w:rPr>
          <w:rFonts w:asciiTheme="minorHAnsi" w:hAnsiTheme="minorHAnsi" w:cstheme="minorHAnsi"/>
          <w:szCs w:val="24"/>
        </w:rPr>
        <w:tab/>
        <w:t xml:space="preserve">Tillgångar och skulder ska värderas under antagandet att bolaget kommer att fortsätta bedriva sin affär i nuvarande form (going </w:t>
      </w:r>
      <w:proofErr w:type="spellStart"/>
      <w:r w:rsidRPr="00E800C5">
        <w:rPr>
          <w:rFonts w:asciiTheme="minorHAnsi" w:hAnsiTheme="minorHAnsi" w:cstheme="minorHAnsi"/>
          <w:szCs w:val="24"/>
        </w:rPr>
        <w:t>concern</w:t>
      </w:r>
      <w:proofErr w:type="spellEnd"/>
      <w:r w:rsidRPr="00E800C5">
        <w:rPr>
          <w:rFonts w:asciiTheme="minorHAnsi" w:hAnsiTheme="minorHAnsi" w:cstheme="minorHAnsi"/>
          <w:szCs w:val="24"/>
        </w:rPr>
        <w:t>).</w:t>
      </w:r>
    </w:p>
    <w:p w14:paraId="1951B57E" w14:textId="77777777" w:rsidR="00AF5926" w:rsidRPr="00E800C5" w:rsidRDefault="00AF5926" w:rsidP="00AF5926">
      <w:pPr>
        <w:ind w:right="-2"/>
        <w:rPr>
          <w:sz w:val="24"/>
          <w:szCs w:val="24"/>
        </w:rPr>
      </w:pPr>
      <w:r w:rsidRPr="00E800C5">
        <w:rPr>
          <w:sz w:val="24"/>
          <w:szCs w:val="24"/>
        </w:rPr>
        <w:br w:type="page"/>
      </w:r>
    </w:p>
    <w:p w14:paraId="6EAC5F76" w14:textId="77777777" w:rsidR="00AF5926" w:rsidRPr="00E800C5" w:rsidRDefault="00AF5926" w:rsidP="00AF5926">
      <w:pPr>
        <w:pStyle w:val="Normaltindrag"/>
        <w:ind w:right="-2"/>
        <w:rPr>
          <w:rFonts w:asciiTheme="minorHAnsi" w:eastAsia="Calibri" w:hAnsiTheme="minorHAnsi" w:cstheme="minorHAnsi"/>
          <w:szCs w:val="24"/>
        </w:rPr>
      </w:pPr>
    </w:p>
    <w:p w14:paraId="65D73703"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49" w:name="_Toc372613333"/>
      <w:bookmarkStart w:id="50" w:name="_Ref382377152"/>
      <w:bookmarkStart w:id="51" w:name="_Ref382381478"/>
      <w:bookmarkStart w:id="52" w:name="_Toc407003332"/>
      <w:bookmarkStart w:id="53" w:name="_Toc425796930"/>
      <w:bookmarkStart w:id="54" w:name="_Toc428124009"/>
      <w:bookmarkStart w:id="55" w:name="_Toc372613342"/>
      <w:bookmarkEnd w:id="35"/>
      <w:r>
        <w:rPr>
          <w:rFonts w:asciiTheme="minorHAnsi" w:hAnsiTheme="minorHAnsi" w:cstheme="minorHAnsi"/>
          <w:sz w:val="24"/>
          <w:szCs w:val="24"/>
        </w:rPr>
        <w:tab/>
      </w:r>
      <w:r w:rsidRPr="00E800C5">
        <w:rPr>
          <w:rFonts w:asciiTheme="minorHAnsi" w:hAnsiTheme="minorHAnsi" w:cstheme="minorHAnsi"/>
          <w:sz w:val="24"/>
          <w:szCs w:val="24"/>
        </w:rPr>
        <w:t>Specifika värderingsprinciper för enskilda balansräkningsposter</w:t>
      </w:r>
      <w:bookmarkEnd w:id="49"/>
      <w:bookmarkEnd w:id="50"/>
      <w:bookmarkEnd w:id="51"/>
      <w:bookmarkEnd w:id="52"/>
      <w:bookmarkEnd w:id="53"/>
      <w:bookmarkEnd w:id="54"/>
    </w:p>
    <w:p w14:paraId="0C6665C1" w14:textId="77777777" w:rsidR="00AF5926" w:rsidRPr="00E800C5" w:rsidRDefault="00AF5926" w:rsidP="00AF5926">
      <w:pPr>
        <w:pStyle w:val="Normaltindrag"/>
        <w:keepNext/>
        <w:keepLines/>
        <w:ind w:right="-2"/>
        <w:rPr>
          <w:rFonts w:asciiTheme="minorHAnsi" w:eastAsia="Calibri" w:hAnsiTheme="minorHAnsi" w:cstheme="minorHAnsi"/>
          <w:szCs w:val="24"/>
        </w:rPr>
      </w:pPr>
      <w:r w:rsidRPr="00E800C5">
        <w:rPr>
          <w:rFonts w:asciiTheme="minorHAnsi" w:eastAsia="Calibri" w:hAnsiTheme="minorHAnsi" w:cstheme="minorHAnsi"/>
          <w:szCs w:val="24"/>
        </w:rPr>
        <w:t>För följande poster anger Solvens 2 regelverkets explicita värderingsregler.</w:t>
      </w:r>
    </w:p>
    <w:p w14:paraId="4F5A53A9"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r>
        <w:rPr>
          <w:rFonts w:asciiTheme="minorHAnsi" w:hAnsiTheme="minorHAnsi" w:cstheme="minorHAnsi"/>
          <w:sz w:val="24"/>
          <w:szCs w:val="24"/>
        </w:rPr>
        <w:tab/>
      </w:r>
    </w:p>
    <w:p w14:paraId="57485D39"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Goodwill ska värderas till noll.</w:t>
      </w:r>
    </w:p>
    <w:p w14:paraId="0E2D43F4"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bookmarkStart w:id="56" w:name="_Ref382377098"/>
      <w:bookmarkStart w:id="57" w:name="_Toc407003334"/>
      <w:bookmarkStart w:id="58" w:name="_Toc425796932"/>
      <w:bookmarkStart w:id="59" w:name="_Toc428124011"/>
      <w:r>
        <w:rPr>
          <w:rFonts w:asciiTheme="minorHAnsi" w:hAnsiTheme="minorHAnsi" w:cstheme="minorHAnsi"/>
          <w:sz w:val="24"/>
          <w:szCs w:val="24"/>
        </w:rPr>
        <w:tab/>
      </w:r>
      <w:r w:rsidRPr="00E800C5">
        <w:rPr>
          <w:rFonts w:asciiTheme="minorHAnsi" w:hAnsiTheme="minorHAnsi" w:cstheme="minorHAnsi"/>
          <w:sz w:val="24"/>
          <w:szCs w:val="24"/>
        </w:rPr>
        <w:t>Immateriella tillgångar</w:t>
      </w:r>
      <w:bookmarkEnd w:id="56"/>
      <w:bookmarkEnd w:id="57"/>
      <w:bookmarkEnd w:id="58"/>
      <w:bookmarkEnd w:id="59"/>
    </w:p>
    <w:p w14:paraId="79949EDC" w14:textId="77777777" w:rsidR="00AF5926" w:rsidRPr="00E800C5" w:rsidRDefault="00AF5926" w:rsidP="00AF5926">
      <w:pPr>
        <w:pStyle w:val="Normaltindrag"/>
        <w:ind w:right="-2"/>
        <w:rPr>
          <w:rFonts w:asciiTheme="minorHAnsi" w:hAnsiTheme="minorHAnsi" w:cstheme="minorHAnsi"/>
          <w:szCs w:val="24"/>
        </w:rPr>
      </w:pPr>
      <w:bookmarkStart w:id="60" w:name="_Toc372613338"/>
      <w:r w:rsidRPr="00E800C5">
        <w:rPr>
          <w:rFonts w:asciiTheme="minorHAnsi" w:hAnsiTheme="minorHAnsi" w:cstheme="minorHAnsi"/>
          <w:szCs w:val="24"/>
        </w:rPr>
        <w:t>Immateriella tillgångar ska värderas till noll, förutom när den immateriella tillgången kan säljas separat och försäkringsbolaget kan demonstrera att det finns ett värde för en identisk eller likadan tillgång i en aktiv marknad. I så fall ska ett värde beräknas enligt värderingshierarkin</w:t>
      </w:r>
      <w:r>
        <w:rPr>
          <w:rFonts w:asciiTheme="minorHAnsi" w:hAnsiTheme="minorHAnsi" w:cstheme="minorHAnsi"/>
          <w:szCs w:val="24"/>
        </w:rPr>
        <w:t xml:space="preserve"> ovan</w:t>
      </w:r>
      <w:r w:rsidRPr="00E800C5">
        <w:rPr>
          <w:rFonts w:asciiTheme="minorHAnsi" w:hAnsiTheme="minorHAnsi" w:cstheme="minorHAnsi"/>
          <w:szCs w:val="24"/>
        </w:rPr>
        <w:t>.</w:t>
      </w:r>
    </w:p>
    <w:bookmarkEnd w:id="60"/>
    <w:p w14:paraId="559F591A" w14:textId="77777777" w:rsidR="00AF5926" w:rsidRPr="00E800C5" w:rsidRDefault="00AF5926" w:rsidP="00AF5926">
      <w:pPr>
        <w:pStyle w:val="Normaltindrag"/>
        <w:ind w:left="1134" w:right="-2" w:hanging="425"/>
        <w:rPr>
          <w:rFonts w:asciiTheme="minorHAnsi" w:eastAsia="Calibri" w:hAnsiTheme="minorHAnsi" w:cstheme="minorHAnsi"/>
          <w:szCs w:val="24"/>
        </w:rPr>
      </w:pPr>
    </w:p>
    <w:p w14:paraId="5D2A2BF6"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bookmarkStart w:id="61" w:name="_Ref382390000"/>
      <w:bookmarkStart w:id="62" w:name="_Toc407003336"/>
      <w:bookmarkStart w:id="63" w:name="_Toc425796933"/>
      <w:bookmarkStart w:id="64" w:name="_Toc428124012"/>
      <w:r>
        <w:rPr>
          <w:rFonts w:asciiTheme="minorHAnsi" w:hAnsiTheme="minorHAnsi" w:cstheme="minorHAnsi"/>
          <w:sz w:val="24"/>
          <w:szCs w:val="24"/>
        </w:rPr>
        <w:tab/>
      </w:r>
      <w:r w:rsidRPr="00E800C5">
        <w:rPr>
          <w:rFonts w:asciiTheme="minorHAnsi" w:hAnsiTheme="minorHAnsi" w:cstheme="minorHAnsi"/>
          <w:sz w:val="24"/>
          <w:szCs w:val="24"/>
        </w:rPr>
        <w:t>Uppskjuten skatt</w:t>
      </w:r>
      <w:bookmarkEnd w:id="61"/>
      <w:bookmarkEnd w:id="62"/>
      <w:bookmarkEnd w:id="63"/>
      <w:bookmarkEnd w:id="64"/>
    </w:p>
    <w:p w14:paraId="35E55D53" w14:textId="77777777" w:rsidR="00AF5926" w:rsidRPr="00E800C5" w:rsidRDefault="00AF5926" w:rsidP="00AF5926">
      <w:pPr>
        <w:pStyle w:val="Normaltindrag"/>
        <w:ind w:right="-2"/>
        <w:rPr>
          <w:rFonts w:asciiTheme="minorHAnsi" w:hAnsiTheme="minorHAnsi" w:cstheme="minorHAnsi"/>
          <w:i/>
          <w:szCs w:val="24"/>
        </w:rPr>
      </w:pPr>
      <w:bookmarkStart w:id="65" w:name="_Toc372613339"/>
      <w:bookmarkStart w:id="66" w:name="_Ref382377393"/>
      <w:r w:rsidRPr="00E800C5">
        <w:rPr>
          <w:rFonts w:asciiTheme="minorHAnsi" w:hAnsiTheme="minorHAnsi" w:cstheme="minorHAnsi"/>
          <w:szCs w:val="24"/>
        </w:rPr>
        <w:t>Som grundprincip ska värdering av uppskjuten skatt i relation till alla tillgångar och skulder, vilka finns inom bolagets solvens- eller skattebalansräkning, ske enligt IFRS(EU)-regelverket. Däremot ska uppskjuten skatt, förutom uppskjutna skattefordringar som hänför sig till underskottsavdrag (</w:t>
      </w:r>
      <w:proofErr w:type="spellStart"/>
      <w:r w:rsidRPr="00E800C5">
        <w:rPr>
          <w:rFonts w:asciiTheme="minorHAnsi" w:hAnsiTheme="minorHAnsi" w:cstheme="minorHAnsi"/>
          <w:szCs w:val="24"/>
        </w:rPr>
        <w:t>carryforward</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of</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unused</w:t>
      </w:r>
      <w:proofErr w:type="spellEnd"/>
      <w:r w:rsidRPr="00E800C5">
        <w:rPr>
          <w:rFonts w:asciiTheme="minorHAnsi" w:hAnsiTheme="minorHAnsi" w:cstheme="minorHAnsi"/>
          <w:szCs w:val="24"/>
        </w:rPr>
        <w:t xml:space="preserve"> tax </w:t>
      </w:r>
      <w:proofErr w:type="spellStart"/>
      <w:r w:rsidRPr="00E800C5">
        <w:rPr>
          <w:rFonts w:asciiTheme="minorHAnsi" w:hAnsiTheme="minorHAnsi" w:cstheme="minorHAnsi"/>
          <w:szCs w:val="24"/>
        </w:rPr>
        <w:t>losses</w:t>
      </w:r>
      <w:proofErr w:type="spellEnd"/>
      <w:r w:rsidRPr="00E800C5">
        <w:rPr>
          <w:rFonts w:asciiTheme="minorHAnsi" w:hAnsiTheme="minorHAnsi" w:cstheme="minorHAnsi"/>
          <w:szCs w:val="24"/>
        </w:rPr>
        <w:t>) eller andra framtida skattemässiga avdrag (</w:t>
      </w:r>
      <w:proofErr w:type="spellStart"/>
      <w:r w:rsidRPr="00E800C5">
        <w:rPr>
          <w:rFonts w:asciiTheme="minorHAnsi" w:hAnsiTheme="minorHAnsi" w:cstheme="minorHAnsi"/>
          <w:szCs w:val="24"/>
        </w:rPr>
        <w:t>carryforward</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of</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unused</w:t>
      </w:r>
      <w:proofErr w:type="spellEnd"/>
      <w:r w:rsidRPr="00E800C5">
        <w:rPr>
          <w:rFonts w:asciiTheme="minorHAnsi" w:hAnsiTheme="minorHAnsi" w:cstheme="minorHAnsi"/>
          <w:szCs w:val="24"/>
        </w:rPr>
        <w:t xml:space="preserve"> tax </w:t>
      </w:r>
      <w:proofErr w:type="spellStart"/>
      <w:r w:rsidRPr="00E800C5">
        <w:rPr>
          <w:rFonts w:asciiTheme="minorHAnsi" w:hAnsiTheme="minorHAnsi" w:cstheme="minorHAnsi"/>
          <w:szCs w:val="24"/>
        </w:rPr>
        <w:t>credits</w:t>
      </w:r>
      <w:proofErr w:type="spellEnd"/>
      <w:r w:rsidRPr="00E800C5">
        <w:rPr>
          <w:rFonts w:asciiTheme="minorHAnsi" w:hAnsiTheme="minorHAnsi" w:cstheme="minorHAnsi"/>
          <w:szCs w:val="24"/>
        </w:rPr>
        <w:t>), värderas på basis av skillnader mellan:</w:t>
      </w:r>
      <w:r w:rsidRPr="00E800C5">
        <w:rPr>
          <w:rStyle w:val="Fotnotsreferens"/>
          <w:rFonts w:asciiTheme="minorHAnsi" w:hAnsiTheme="minorHAnsi" w:cstheme="minorHAnsi"/>
          <w:szCs w:val="24"/>
        </w:rPr>
        <w:t xml:space="preserve"> </w:t>
      </w:r>
    </w:p>
    <w:p w14:paraId="3B3A14A4" w14:textId="77777777" w:rsidR="00AF5926" w:rsidRPr="00E800C5" w:rsidRDefault="00AF5926" w:rsidP="00AF5926">
      <w:pPr>
        <w:pStyle w:val="Normaltindrag"/>
        <w:numPr>
          <w:ilvl w:val="0"/>
          <w:numId w:val="21"/>
        </w:numPr>
        <w:ind w:left="993" w:right="-2" w:hanging="284"/>
        <w:rPr>
          <w:rFonts w:asciiTheme="minorHAnsi" w:hAnsiTheme="minorHAnsi" w:cstheme="minorHAnsi"/>
          <w:szCs w:val="24"/>
        </w:rPr>
      </w:pPr>
      <w:r w:rsidRPr="00E800C5">
        <w:rPr>
          <w:rFonts w:asciiTheme="minorHAnsi" w:hAnsiTheme="minorHAnsi" w:cstheme="minorHAnsi"/>
          <w:szCs w:val="24"/>
        </w:rPr>
        <w:t xml:space="preserve">Värdena av tillgångar och skulder i </w:t>
      </w:r>
      <w:r w:rsidRPr="00E800C5">
        <w:rPr>
          <w:rFonts w:asciiTheme="minorHAnsi" w:hAnsiTheme="minorHAnsi" w:cstheme="minorHAnsi"/>
          <w:szCs w:val="24"/>
          <w:u w:val="single"/>
        </w:rPr>
        <w:t>solvens</w:t>
      </w:r>
      <w:r w:rsidRPr="00E800C5">
        <w:rPr>
          <w:rFonts w:asciiTheme="minorHAnsi" w:hAnsiTheme="minorHAnsi" w:cstheme="minorHAnsi"/>
          <w:szCs w:val="24"/>
        </w:rPr>
        <w:t>balansräkningen och</w:t>
      </w:r>
    </w:p>
    <w:p w14:paraId="3E36A91A" w14:textId="77777777" w:rsidR="00AF5926" w:rsidRPr="00E800C5" w:rsidRDefault="00AF5926" w:rsidP="00AF5926">
      <w:pPr>
        <w:pStyle w:val="Normaltindrag"/>
        <w:numPr>
          <w:ilvl w:val="0"/>
          <w:numId w:val="21"/>
        </w:numPr>
        <w:ind w:left="993" w:right="-2" w:hanging="284"/>
        <w:rPr>
          <w:rFonts w:asciiTheme="minorHAnsi" w:hAnsiTheme="minorHAnsi" w:cstheme="minorHAnsi"/>
          <w:szCs w:val="24"/>
        </w:rPr>
      </w:pPr>
      <w:r w:rsidRPr="00E800C5">
        <w:rPr>
          <w:rFonts w:asciiTheme="minorHAnsi" w:hAnsiTheme="minorHAnsi" w:cstheme="minorHAnsi"/>
          <w:szCs w:val="24"/>
        </w:rPr>
        <w:t xml:space="preserve">Värdena av tillgångar och skulder i </w:t>
      </w:r>
      <w:r w:rsidRPr="00E800C5">
        <w:rPr>
          <w:rFonts w:asciiTheme="minorHAnsi" w:hAnsiTheme="minorHAnsi" w:cstheme="minorHAnsi"/>
          <w:szCs w:val="24"/>
          <w:u w:val="single"/>
        </w:rPr>
        <w:t>skatte</w:t>
      </w:r>
      <w:r w:rsidRPr="00E800C5">
        <w:rPr>
          <w:rFonts w:asciiTheme="minorHAnsi" w:hAnsiTheme="minorHAnsi" w:cstheme="minorHAnsi"/>
          <w:szCs w:val="24"/>
        </w:rPr>
        <w:t>balansräkningen.</w:t>
      </w:r>
    </w:p>
    <w:p w14:paraId="520215E6"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Ett positivt belopp av uppskjuten skattefordran, som hänför sig till underskottsavdrag eller andra framtida skattemässiga avdrag, ska enbart tas upp i den utsträckningen det är sannolikt att avdragen kan avräknas mot överskott vid framtida beskattning. Detta kräver en stödjande analys.</w:t>
      </w:r>
    </w:p>
    <w:p w14:paraId="350EEF06"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Alla omvärderingar av andra tillgångs- och skuldposter från bolagets </w:t>
      </w:r>
      <w:r w:rsidRPr="00E800C5">
        <w:rPr>
          <w:rFonts w:asciiTheme="minorHAnsi" w:hAnsiTheme="minorHAnsi" w:cstheme="minorHAnsi"/>
          <w:szCs w:val="24"/>
          <w:u w:val="single"/>
        </w:rPr>
        <w:t>redovisnings</w:t>
      </w:r>
      <w:r w:rsidRPr="00E800C5">
        <w:rPr>
          <w:rFonts w:asciiTheme="minorHAnsi" w:hAnsiTheme="minorHAnsi" w:cstheme="minorHAnsi"/>
          <w:szCs w:val="24"/>
        </w:rPr>
        <w:t>balansräkning för juridisk person till solvensbalansräkning implicerar därmed en omvärdering av den uppskjutna skatteposten som finns upptagen i redovisningsbalansräkningen, med undantag för:</w:t>
      </w:r>
    </w:p>
    <w:p w14:paraId="18F48430" w14:textId="77777777" w:rsidR="00AF5926" w:rsidRPr="00E800C5" w:rsidRDefault="00AF5926" w:rsidP="00AF5926">
      <w:pPr>
        <w:pStyle w:val="Normaltindrag"/>
        <w:numPr>
          <w:ilvl w:val="0"/>
          <w:numId w:val="24"/>
        </w:numPr>
        <w:ind w:right="-2"/>
        <w:rPr>
          <w:rFonts w:asciiTheme="minorHAnsi" w:hAnsiTheme="minorHAnsi" w:cstheme="minorHAnsi"/>
          <w:szCs w:val="24"/>
        </w:rPr>
      </w:pPr>
      <w:r w:rsidRPr="00E800C5">
        <w:rPr>
          <w:rFonts w:asciiTheme="minorHAnsi" w:hAnsiTheme="minorHAnsi" w:cstheme="minorHAnsi"/>
          <w:szCs w:val="24"/>
        </w:rPr>
        <w:t xml:space="preserve"> Elimineringen av obeskattade reserver.</w:t>
      </w:r>
    </w:p>
    <w:p w14:paraId="777FD217" w14:textId="77777777" w:rsidR="00AF5926" w:rsidRPr="00E800C5" w:rsidRDefault="00AF5926" w:rsidP="00AF5926">
      <w:pPr>
        <w:pStyle w:val="Normaltindrag"/>
        <w:numPr>
          <w:ilvl w:val="0"/>
          <w:numId w:val="24"/>
        </w:numPr>
        <w:ind w:right="-2"/>
        <w:rPr>
          <w:rFonts w:asciiTheme="minorHAnsi" w:hAnsiTheme="minorHAnsi" w:cstheme="minorHAnsi"/>
          <w:szCs w:val="24"/>
        </w:rPr>
      </w:pPr>
      <w:r w:rsidRPr="00E800C5">
        <w:rPr>
          <w:rFonts w:asciiTheme="minorHAnsi" w:hAnsiTheme="minorHAnsi" w:cstheme="minorHAnsi"/>
          <w:szCs w:val="24"/>
        </w:rPr>
        <w:t xml:space="preserve">Eliminering av goodwill. </w:t>
      </w:r>
    </w:p>
    <w:p w14:paraId="7DABC672" w14:textId="77777777" w:rsidR="00AF5926" w:rsidRPr="00E800C5" w:rsidRDefault="00AF5926" w:rsidP="00AF5926">
      <w:pPr>
        <w:pStyle w:val="Normaltindrag"/>
        <w:ind w:right="-2"/>
        <w:rPr>
          <w:rFonts w:asciiTheme="minorHAnsi" w:hAnsiTheme="minorHAnsi" w:cstheme="minorHAnsi"/>
          <w:szCs w:val="24"/>
        </w:rPr>
      </w:pPr>
    </w:p>
    <w:p w14:paraId="41E8FAA0" w14:textId="77777777" w:rsidR="00AF5926" w:rsidRPr="00E800C5" w:rsidRDefault="00AF5926" w:rsidP="00AF5926">
      <w:pPr>
        <w:pStyle w:val="Normaltindrag"/>
        <w:ind w:right="-2"/>
        <w:rPr>
          <w:rFonts w:asciiTheme="minorHAnsi" w:hAnsiTheme="minorHAnsi" w:cstheme="minorHAnsi"/>
          <w:szCs w:val="24"/>
        </w:rPr>
      </w:pPr>
    </w:p>
    <w:p w14:paraId="21E3A5AB" w14:textId="77777777" w:rsidR="00AF5926" w:rsidRPr="00E800C5" w:rsidRDefault="00AF5926" w:rsidP="00AF5926">
      <w:pPr>
        <w:pStyle w:val="Normaltindrag"/>
        <w:ind w:right="-2"/>
        <w:rPr>
          <w:rFonts w:asciiTheme="minorHAnsi" w:hAnsiTheme="minorHAnsi" w:cstheme="minorHAnsi"/>
          <w:szCs w:val="24"/>
        </w:rPr>
      </w:pPr>
    </w:p>
    <w:p w14:paraId="355746EC"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bookmarkStart w:id="67" w:name="_Toc405911573"/>
      <w:bookmarkStart w:id="68" w:name="_Toc406757169"/>
      <w:bookmarkStart w:id="69" w:name="_Ref382481349"/>
      <w:bookmarkStart w:id="70" w:name="_Ref382481450"/>
      <w:bookmarkStart w:id="71" w:name="_Toc407003337"/>
      <w:bookmarkStart w:id="72" w:name="_Toc425796934"/>
      <w:bookmarkStart w:id="73" w:name="_Toc428124013"/>
      <w:bookmarkEnd w:id="67"/>
      <w:bookmarkEnd w:id="68"/>
      <w:r>
        <w:rPr>
          <w:rFonts w:asciiTheme="minorHAnsi" w:hAnsiTheme="minorHAnsi" w:cstheme="minorHAnsi"/>
          <w:sz w:val="24"/>
          <w:szCs w:val="24"/>
        </w:rPr>
        <w:lastRenderedPageBreak/>
        <w:tab/>
      </w:r>
      <w:r w:rsidRPr="00E800C5">
        <w:rPr>
          <w:rFonts w:asciiTheme="minorHAnsi" w:hAnsiTheme="minorHAnsi" w:cstheme="minorHAnsi"/>
          <w:sz w:val="24"/>
          <w:szCs w:val="24"/>
        </w:rPr>
        <w:t>Försäkringstekniska avsättningar</w:t>
      </w:r>
      <w:bookmarkEnd w:id="65"/>
      <w:bookmarkEnd w:id="66"/>
      <w:bookmarkEnd w:id="69"/>
      <w:bookmarkEnd w:id="70"/>
      <w:bookmarkEnd w:id="71"/>
      <w:bookmarkEnd w:id="72"/>
      <w:bookmarkEnd w:id="73"/>
    </w:p>
    <w:p w14:paraId="70488F3E"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Värdering av försäkringstekniska avsättningar </w:t>
      </w:r>
      <w:r>
        <w:rPr>
          <w:rFonts w:asciiTheme="minorHAnsi" w:hAnsiTheme="minorHAnsi" w:cstheme="minorHAnsi"/>
          <w:szCs w:val="24"/>
        </w:rPr>
        <w:t xml:space="preserve">sker enligt Försäkringstekniska riktlinjer. </w:t>
      </w:r>
    </w:p>
    <w:p w14:paraId="2AAC309D"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bookmarkStart w:id="74" w:name="_Toc390858801"/>
      <w:bookmarkStart w:id="75" w:name="_Toc390858802"/>
      <w:bookmarkStart w:id="76" w:name="_Toc390858803"/>
      <w:bookmarkStart w:id="77" w:name="_Ref382401337"/>
      <w:bookmarkStart w:id="78" w:name="_Toc407003338"/>
      <w:bookmarkStart w:id="79" w:name="_Toc425796935"/>
      <w:bookmarkStart w:id="80" w:name="_Toc428124014"/>
      <w:bookmarkEnd w:id="74"/>
      <w:bookmarkEnd w:id="75"/>
      <w:bookmarkEnd w:id="76"/>
      <w:r>
        <w:rPr>
          <w:rFonts w:asciiTheme="minorHAnsi" w:hAnsiTheme="minorHAnsi" w:cstheme="minorHAnsi"/>
          <w:sz w:val="24"/>
          <w:szCs w:val="24"/>
        </w:rPr>
        <w:tab/>
      </w:r>
      <w:proofErr w:type="spellStart"/>
      <w:r w:rsidRPr="00E800C5">
        <w:rPr>
          <w:rFonts w:asciiTheme="minorHAnsi" w:hAnsiTheme="minorHAnsi" w:cstheme="minorHAnsi"/>
          <w:sz w:val="24"/>
          <w:szCs w:val="24"/>
        </w:rPr>
        <w:t>Eventualförpliktelser</w:t>
      </w:r>
      <w:bookmarkEnd w:id="77"/>
      <w:bookmarkEnd w:id="78"/>
      <w:bookmarkEnd w:id="79"/>
      <w:bookmarkEnd w:id="80"/>
      <w:proofErr w:type="spellEnd"/>
    </w:p>
    <w:p w14:paraId="2AD1D0E0"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En </w:t>
      </w:r>
      <w:proofErr w:type="spellStart"/>
      <w:r w:rsidRPr="00E800C5">
        <w:rPr>
          <w:rFonts w:asciiTheme="minorHAnsi" w:hAnsiTheme="minorHAnsi" w:cstheme="minorHAnsi"/>
          <w:szCs w:val="24"/>
        </w:rPr>
        <w:t>eventualförpliktelse</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contingent</w:t>
      </w:r>
      <w:proofErr w:type="spellEnd"/>
      <w:r w:rsidRPr="00E800C5">
        <w:rPr>
          <w:rFonts w:asciiTheme="minorHAnsi" w:hAnsiTheme="minorHAnsi" w:cstheme="minorHAnsi"/>
          <w:szCs w:val="24"/>
        </w:rPr>
        <w:t xml:space="preserve"> </w:t>
      </w:r>
      <w:proofErr w:type="spellStart"/>
      <w:r w:rsidRPr="00E800C5">
        <w:rPr>
          <w:rFonts w:asciiTheme="minorHAnsi" w:hAnsiTheme="minorHAnsi" w:cstheme="minorHAnsi"/>
          <w:szCs w:val="24"/>
        </w:rPr>
        <w:t>liability</w:t>
      </w:r>
      <w:proofErr w:type="spellEnd"/>
      <w:r w:rsidRPr="00E800C5">
        <w:rPr>
          <w:rFonts w:asciiTheme="minorHAnsi" w:hAnsiTheme="minorHAnsi" w:cstheme="minorHAnsi"/>
          <w:szCs w:val="24"/>
        </w:rPr>
        <w:t xml:space="preserve">; </w:t>
      </w:r>
      <w:r w:rsidRPr="00E800C5">
        <w:rPr>
          <w:rFonts w:asciiTheme="minorHAnsi" w:eastAsia="Calibri" w:hAnsiTheme="minorHAnsi" w:cstheme="minorHAnsi"/>
          <w:szCs w:val="24"/>
        </w:rPr>
        <w:t xml:space="preserve">se definition </w:t>
      </w:r>
      <w:proofErr w:type="gramStart"/>
      <w:r>
        <w:rPr>
          <w:rFonts w:asciiTheme="minorHAnsi" w:eastAsia="Calibri" w:hAnsiTheme="minorHAnsi" w:cstheme="minorHAnsi"/>
          <w:szCs w:val="24"/>
        </w:rPr>
        <w:t xml:space="preserve">ovan </w:t>
      </w:r>
      <w:r w:rsidRPr="00E800C5">
        <w:rPr>
          <w:rFonts w:asciiTheme="minorHAnsi" w:eastAsia="Calibri" w:hAnsiTheme="minorHAnsi" w:cstheme="minorHAnsi"/>
          <w:szCs w:val="24"/>
        </w:rPr>
        <w:t>;</w:t>
      </w:r>
      <w:proofErr w:type="gramEnd"/>
      <w:r w:rsidRPr="00E800C5">
        <w:rPr>
          <w:rFonts w:asciiTheme="minorHAnsi" w:hAnsiTheme="minorHAnsi" w:cstheme="minorHAnsi"/>
          <w:szCs w:val="24"/>
        </w:rPr>
        <w:t xml:space="preserve"> kallas också ansvarsförbindelse) ska tas upp i balansräkningen och värderas som en skuld om den är materiell. En </w:t>
      </w:r>
      <w:proofErr w:type="spellStart"/>
      <w:r w:rsidRPr="00E800C5">
        <w:rPr>
          <w:rFonts w:asciiTheme="minorHAnsi" w:hAnsiTheme="minorHAnsi" w:cstheme="minorHAnsi"/>
          <w:szCs w:val="24"/>
        </w:rPr>
        <w:t>eventualförpliktelse</w:t>
      </w:r>
      <w:proofErr w:type="spellEnd"/>
      <w:r w:rsidRPr="00E800C5">
        <w:rPr>
          <w:rFonts w:asciiTheme="minorHAnsi" w:hAnsiTheme="minorHAnsi" w:cstheme="minorHAnsi"/>
          <w:szCs w:val="24"/>
        </w:rPr>
        <w:t xml:space="preserve"> är materiell om informationen om nuvarande eller möjliga storlek av skulden skulle kunna påverka beslutsfattande eller omdöme av användaren av sådan information.</w:t>
      </w:r>
    </w:p>
    <w:p w14:paraId="4E46F30C"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81" w:name="_Ref382377242"/>
      <w:bookmarkStart w:id="82" w:name="_Toc407003341"/>
      <w:bookmarkStart w:id="83" w:name="_Toc425796936"/>
      <w:bookmarkStart w:id="84" w:name="_Toc428124015"/>
      <w:r>
        <w:rPr>
          <w:rFonts w:asciiTheme="minorHAnsi" w:hAnsiTheme="minorHAnsi" w:cstheme="minorHAnsi"/>
          <w:sz w:val="24"/>
          <w:szCs w:val="24"/>
        </w:rPr>
        <w:tab/>
      </w:r>
      <w:r w:rsidRPr="00E800C5">
        <w:rPr>
          <w:rFonts w:asciiTheme="minorHAnsi" w:hAnsiTheme="minorHAnsi" w:cstheme="minorHAnsi"/>
          <w:sz w:val="24"/>
          <w:szCs w:val="24"/>
        </w:rPr>
        <w:t>Resulterande omvärderingsbehov</w:t>
      </w:r>
      <w:bookmarkEnd w:id="55"/>
      <w:bookmarkEnd w:id="81"/>
      <w:r w:rsidRPr="00E800C5">
        <w:rPr>
          <w:rFonts w:asciiTheme="minorHAnsi" w:hAnsiTheme="minorHAnsi" w:cstheme="minorHAnsi"/>
          <w:sz w:val="24"/>
          <w:szCs w:val="24"/>
        </w:rPr>
        <w:t xml:space="preserve"> för </w:t>
      </w:r>
      <w:bookmarkEnd w:id="82"/>
      <w:r w:rsidRPr="00E800C5">
        <w:rPr>
          <w:rFonts w:asciiTheme="minorHAnsi" w:hAnsiTheme="minorHAnsi" w:cstheme="minorHAnsi"/>
          <w:sz w:val="24"/>
          <w:szCs w:val="24"/>
        </w:rPr>
        <w:t>Bolaget</w:t>
      </w:r>
      <w:bookmarkEnd w:id="83"/>
      <w:bookmarkEnd w:id="84"/>
    </w:p>
    <w:p w14:paraId="12E6ECC0"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Utifrån dessa generella krav ska Bolaget i dagens läge applicera följande omvärderingar på posterna i dess IFRS-balansräkning (</w:t>
      </w:r>
      <w:r w:rsidRPr="00E800C5">
        <w:rPr>
          <w:rFonts w:asciiTheme="minorHAnsi" w:eastAsia="Calibri" w:hAnsiTheme="minorHAnsi" w:cstheme="minorHAnsi"/>
          <w:szCs w:val="24"/>
        </w:rPr>
        <w:t>se definition</w:t>
      </w:r>
      <w:r>
        <w:rPr>
          <w:rFonts w:asciiTheme="minorHAnsi" w:eastAsia="Calibri" w:hAnsiTheme="minorHAnsi" w:cstheme="minorHAnsi"/>
          <w:szCs w:val="24"/>
        </w:rPr>
        <w:t xml:space="preserve"> ovan</w:t>
      </w:r>
      <w:r w:rsidRPr="00E800C5">
        <w:rPr>
          <w:rFonts w:asciiTheme="minorHAnsi" w:eastAsia="Calibri" w:hAnsiTheme="minorHAnsi" w:cstheme="minorHAnsi"/>
          <w:szCs w:val="24"/>
        </w:rPr>
        <w:t>)</w:t>
      </w:r>
      <w:r w:rsidRPr="00E800C5">
        <w:rPr>
          <w:rFonts w:asciiTheme="minorHAnsi" w:hAnsiTheme="minorHAnsi" w:cstheme="minorHAnsi"/>
          <w:szCs w:val="24"/>
        </w:rPr>
        <w:t xml:space="preserve">, under förutsättning att sådana omvärderingar resulterar i en </w:t>
      </w:r>
      <w:r w:rsidRPr="00E800C5">
        <w:rPr>
          <w:rFonts w:asciiTheme="minorHAnsi" w:hAnsiTheme="minorHAnsi" w:cstheme="minorHAnsi"/>
          <w:szCs w:val="24"/>
          <w:u w:val="single"/>
        </w:rPr>
        <w:t>materiell förändring av värdet</w:t>
      </w:r>
      <w:r w:rsidRPr="00E800C5">
        <w:rPr>
          <w:rFonts w:asciiTheme="minorHAnsi" w:hAnsiTheme="minorHAnsi" w:cstheme="minorHAnsi"/>
          <w:szCs w:val="24"/>
        </w:rPr>
        <w:t xml:space="preserve">: </w:t>
      </w:r>
    </w:p>
    <w:p w14:paraId="40154FFA"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Immateriella tillgångar</w:t>
      </w:r>
    </w:p>
    <w:p w14:paraId="0CA9F594" w14:textId="77777777" w:rsidR="00AF5926" w:rsidRPr="00E800C5" w:rsidRDefault="00AF5926" w:rsidP="00AF5926">
      <w:pPr>
        <w:pStyle w:val="Normaltindrag"/>
        <w:keepNext/>
        <w:keepLines/>
        <w:ind w:left="1134" w:right="-2"/>
        <w:rPr>
          <w:rFonts w:asciiTheme="minorHAnsi" w:hAnsiTheme="minorHAnsi" w:cstheme="minorHAnsi"/>
          <w:szCs w:val="24"/>
        </w:rPr>
      </w:pPr>
      <w:r w:rsidRPr="00E800C5">
        <w:rPr>
          <w:rFonts w:asciiTheme="minorHAnsi" w:hAnsiTheme="minorHAnsi" w:cstheme="minorHAnsi"/>
          <w:szCs w:val="24"/>
        </w:rPr>
        <w:t>Immateriella tillgångar värderas som noll i solvensbalansräkningen, förutom i vissa undantagsfall</w:t>
      </w:r>
      <w:r>
        <w:rPr>
          <w:rFonts w:asciiTheme="minorHAnsi" w:hAnsiTheme="minorHAnsi" w:cstheme="minorHAnsi"/>
          <w:szCs w:val="24"/>
        </w:rPr>
        <w:t>.</w:t>
      </w:r>
    </w:p>
    <w:p w14:paraId="6F3ED461" w14:textId="77777777" w:rsidR="00AF5926" w:rsidRPr="00E800C5" w:rsidRDefault="00AF5926" w:rsidP="00AF5926">
      <w:pPr>
        <w:pStyle w:val="Normaltindrag"/>
        <w:shd w:val="clear" w:color="auto" w:fill="D9D9D9" w:themeFill="background1" w:themeFillShade="D9"/>
        <w:ind w:left="1134" w:right="-2"/>
        <w:rPr>
          <w:rFonts w:asciiTheme="minorHAnsi" w:hAnsiTheme="minorHAnsi" w:cstheme="minorHAnsi"/>
          <w:szCs w:val="24"/>
        </w:rPr>
      </w:pPr>
      <w:r w:rsidRPr="00E800C5">
        <w:rPr>
          <w:rFonts w:asciiTheme="minorHAnsi" w:hAnsiTheme="minorHAnsi" w:cstheme="minorHAnsi"/>
          <w:szCs w:val="24"/>
        </w:rPr>
        <w:t xml:space="preserve">Exempel är datorprogram som förvärvats av bolaget, som ofta inkluderas som en immateriell tillgång i IFRS-balansräkningen. Eftersom dessa inte är avskiljbar samt kan säljas separat åsätts inget värde i solvensbalansräkningen </w:t>
      </w:r>
    </w:p>
    <w:p w14:paraId="58666E1F"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Återförsäkrares andel av försäkringstekniska avsättningar</w:t>
      </w:r>
    </w:p>
    <w:p w14:paraId="6C9B6FDA" w14:textId="77777777" w:rsidR="00AF5926" w:rsidRPr="00E800C5" w:rsidRDefault="00AF5926" w:rsidP="00AF5926">
      <w:pPr>
        <w:pStyle w:val="Normaltindrag"/>
        <w:ind w:left="1134" w:right="-2"/>
        <w:rPr>
          <w:rFonts w:asciiTheme="minorHAnsi" w:hAnsiTheme="minorHAnsi" w:cstheme="minorHAnsi"/>
          <w:szCs w:val="24"/>
        </w:rPr>
      </w:pPr>
      <w:r w:rsidRPr="00E800C5">
        <w:rPr>
          <w:rFonts w:asciiTheme="minorHAnsi" w:hAnsiTheme="minorHAnsi" w:cstheme="minorHAnsi"/>
          <w:szCs w:val="24"/>
        </w:rPr>
        <w:t>Återförsäkrares andel av försäkringstekniska avsättningar ska värderas i enlighet</w:t>
      </w:r>
      <w:r>
        <w:rPr>
          <w:rFonts w:asciiTheme="minorHAnsi" w:hAnsiTheme="minorHAnsi" w:cstheme="minorHAnsi"/>
          <w:szCs w:val="24"/>
        </w:rPr>
        <w:t xml:space="preserve"> med Försäkringstekniska riktlinjer</w:t>
      </w:r>
      <w:r w:rsidRPr="00E800C5">
        <w:rPr>
          <w:rFonts w:asciiTheme="minorHAnsi" w:hAnsiTheme="minorHAnsi" w:cstheme="minorHAnsi"/>
          <w:szCs w:val="24"/>
        </w:rPr>
        <w:t>.</w:t>
      </w:r>
    </w:p>
    <w:p w14:paraId="221F012C"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Fordringar</w:t>
      </w:r>
    </w:p>
    <w:p w14:paraId="1A7CBBF2" w14:textId="77777777" w:rsidR="00AF5926" w:rsidRPr="00E800C5" w:rsidRDefault="00AF5926" w:rsidP="00AF5926">
      <w:pPr>
        <w:pStyle w:val="Normaltindrag"/>
        <w:keepNext/>
        <w:keepLines/>
        <w:ind w:left="1134" w:right="-2"/>
        <w:rPr>
          <w:rFonts w:asciiTheme="minorHAnsi" w:hAnsiTheme="minorHAnsi" w:cstheme="minorHAnsi"/>
          <w:szCs w:val="24"/>
        </w:rPr>
      </w:pPr>
      <w:r w:rsidRPr="00E800C5">
        <w:rPr>
          <w:rFonts w:asciiTheme="minorHAnsi" w:hAnsiTheme="minorHAnsi" w:cstheme="minorHAnsi"/>
          <w:szCs w:val="24"/>
        </w:rPr>
        <w:t>Fordringar som inte värderas till verkligt värde i IFRS-balansräkningen ska omvärderas till marknadsvärde.</w:t>
      </w:r>
    </w:p>
    <w:p w14:paraId="3E42E6EA" w14:textId="77777777" w:rsidR="00AF5926" w:rsidRPr="00E800C5" w:rsidRDefault="00AF5926" w:rsidP="00AF5926">
      <w:pPr>
        <w:pStyle w:val="Normaltindrag"/>
        <w:keepNext/>
        <w:keepLines/>
        <w:shd w:val="clear" w:color="auto" w:fill="D9D9D9" w:themeFill="background1" w:themeFillShade="D9"/>
        <w:ind w:left="1134" w:right="-2"/>
        <w:rPr>
          <w:rFonts w:asciiTheme="minorHAnsi" w:hAnsiTheme="minorHAnsi" w:cstheme="minorHAnsi"/>
          <w:szCs w:val="24"/>
        </w:rPr>
      </w:pPr>
      <w:r w:rsidRPr="00E800C5">
        <w:rPr>
          <w:rFonts w:asciiTheme="minorHAnsi" w:hAnsiTheme="minorHAnsi" w:cstheme="minorHAnsi"/>
          <w:szCs w:val="24"/>
        </w:rPr>
        <w:t>Exempel är fordringar som värderas till lägsta av anskaffningsvärde och nettoförsäljningsvärde.</w:t>
      </w:r>
    </w:p>
    <w:p w14:paraId="27A17B19"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Uppskjuten skattefordran</w:t>
      </w:r>
    </w:p>
    <w:p w14:paraId="78FC2A9F" w14:textId="77777777" w:rsidR="00AF5926" w:rsidRPr="00E800C5" w:rsidRDefault="00AF5926" w:rsidP="00AF5926">
      <w:pPr>
        <w:pStyle w:val="Normaltindrag"/>
        <w:ind w:left="1134" w:right="-2"/>
        <w:rPr>
          <w:rFonts w:asciiTheme="minorHAnsi" w:hAnsiTheme="minorHAnsi" w:cstheme="minorHAnsi"/>
          <w:szCs w:val="24"/>
        </w:rPr>
      </w:pPr>
      <w:r w:rsidRPr="00E800C5">
        <w:rPr>
          <w:rFonts w:asciiTheme="minorHAnsi" w:hAnsiTheme="minorHAnsi" w:cstheme="minorHAnsi"/>
          <w:szCs w:val="24"/>
        </w:rPr>
        <w:t xml:space="preserve">Uppskjuten skattefordran ska omvärderas i enlighet med </w:t>
      </w:r>
      <w:proofErr w:type="spellStart"/>
      <w:r w:rsidRPr="00E800C5">
        <w:rPr>
          <w:rFonts w:asciiTheme="minorHAnsi" w:hAnsiTheme="minorHAnsi" w:cstheme="minorHAnsi"/>
          <w:szCs w:val="24"/>
        </w:rPr>
        <w:t>Avsnitt</w:t>
      </w:r>
      <w:r>
        <w:t>Uppskjuten</w:t>
      </w:r>
      <w:proofErr w:type="spellEnd"/>
      <w:r>
        <w:t xml:space="preserve"> skatt</w:t>
      </w:r>
      <w:r w:rsidRPr="00E800C5">
        <w:rPr>
          <w:rFonts w:asciiTheme="minorHAnsi" w:hAnsiTheme="minorHAnsi" w:cstheme="minorHAnsi"/>
          <w:szCs w:val="24"/>
        </w:rPr>
        <w:t>.</w:t>
      </w:r>
    </w:p>
    <w:p w14:paraId="7CFC0CF8"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 xml:space="preserve">Materiella </w:t>
      </w:r>
      <w:proofErr w:type="spellStart"/>
      <w:r w:rsidRPr="00E800C5">
        <w:rPr>
          <w:rFonts w:asciiTheme="minorHAnsi" w:hAnsiTheme="minorHAnsi" w:cstheme="minorHAnsi"/>
          <w:szCs w:val="24"/>
          <w:u w:val="single"/>
        </w:rPr>
        <w:t>anläggningstillgånger</w:t>
      </w:r>
      <w:proofErr w:type="spellEnd"/>
    </w:p>
    <w:p w14:paraId="6C8A85FE" w14:textId="77777777" w:rsidR="00AF5926" w:rsidRPr="00E800C5" w:rsidRDefault="00AF5926" w:rsidP="00AF5926">
      <w:pPr>
        <w:pStyle w:val="Normaltindrag"/>
        <w:ind w:left="1134" w:right="-2"/>
        <w:rPr>
          <w:rFonts w:asciiTheme="minorHAnsi" w:hAnsiTheme="minorHAnsi" w:cstheme="minorHAnsi"/>
          <w:szCs w:val="24"/>
        </w:rPr>
      </w:pPr>
      <w:r w:rsidRPr="00E800C5">
        <w:rPr>
          <w:rFonts w:asciiTheme="minorHAnsi" w:hAnsiTheme="minorHAnsi" w:cstheme="minorHAnsi"/>
          <w:szCs w:val="24"/>
        </w:rPr>
        <w:t>Materiella anläggningstillgångar som inte värderas till verkligt värde i IFRS-balansräkningen ska omvärderas till marknadsvärde.</w:t>
      </w:r>
    </w:p>
    <w:p w14:paraId="194363E0" w14:textId="77777777" w:rsidR="00AF5926" w:rsidRPr="00E800C5" w:rsidRDefault="00AF5926" w:rsidP="00AF5926">
      <w:pPr>
        <w:pStyle w:val="Normaltindrag"/>
        <w:shd w:val="clear" w:color="auto" w:fill="D9D9D9" w:themeFill="background1" w:themeFillShade="D9"/>
        <w:ind w:left="1134" w:right="-2"/>
        <w:rPr>
          <w:rFonts w:asciiTheme="minorHAnsi" w:hAnsiTheme="minorHAnsi" w:cstheme="minorHAnsi"/>
          <w:szCs w:val="24"/>
        </w:rPr>
      </w:pPr>
      <w:r w:rsidRPr="00E800C5">
        <w:rPr>
          <w:rFonts w:asciiTheme="minorHAnsi" w:hAnsiTheme="minorHAnsi" w:cstheme="minorHAnsi"/>
          <w:szCs w:val="24"/>
        </w:rPr>
        <w:lastRenderedPageBreak/>
        <w:t>Exempel är fastigheter eller utrustning för eget bruk som värderas till anskaffningsvärde efter avdrag för ackumulerade avskrivningar och eventuellt ackumulerade nedskrivningar.</w:t>
      </w:r>
    </w:p>
    <w:p w14:paraId="495B52EE"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Förutbetalda anskaffningskostnader</w:t>
      </w:r>
    </w:p>
    <w:p w14:paraId="4F894409" w14:textId="77777777" w:rsidR="00AF5926" w:rsidRPr="00E800C5" w:rsidRDefault="00AF5926" w:rsidP="00AF5926">
      <w:pPr>
        <w:pStyle w:val="Normaltindrag"/>
        <w:keepNext/>
        <w:keepLines/>
        <w:ind w:left="1134" w:right="-2"/>
        <w:rPr>
          <w:rFonts w:asciiTheme="minorHAnsi" w:hAnsiTheme="minorHAnsi" w:cstheme="minorHAnsi"/>
          <w:szCs w:val="24"/>
        </w:rPr>
      </w:pPr>
      <w:r w:rsidRPr="00E800C5">
        <w:rPr>
          <w:rFonts w:asciiTheme="minorHAnsi" w:hAnsiTheme="minorHAnsi" w:cstheme="minorHAnsi"/>
          <w:szCs w:val="24"/>
        </w:rPr>
        <w:t>Förutbetalda anskaffningskostnader elimineras.</w:t>
      </w:r>
    </w:p>
    <w:p w14:paraId="6003E35C"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Obeskattade reserver</w:t>
      </w:r>
    </w:p>
    <w:p w14:paraId="10363550" w14:textId="77777777" w:rsidR="00AF5926" w:rsidRPr="00E800C5" w:rsidRDefault="00AF5926" w:rsidP="00AF5926">
      <w:pPr>
        <w:pStyle w:val="Normaltindrag"/>
        <w:ind w:left="1134" w:right="-2"/>
        <w:rPr>
          <w:rFonts w:asciiTheme="minorHAnsi" w:hAnsiTheme="minorHAnsi" w:cstheme="minorHAnsi"/>
          <w:szCs w:val="24"/>
        </w:rPr>
      </w:pPr>
      <w:r w:rsidRPr="00E800C5">
        <w:rPr>
          <w:rFonts w:asciiTheme="minorHAnsi" w:hAnsiTheme="minorHAnsi" w:cstheme="minorHAnsi"/>
          <w:szCs w:val="24"/>
        </w:rPr>
        <w:t>Obeskattade reserver (säkerhetsreserv, utjämningsfond, periodiseringsfond) elimineras.</w:t>
      </w:r>
    </w:p>
    <w:p w14:paraId="0AA7FF54" w14:textId="77777777" w:rsidR="00AF5926" w:rsidRPr="00E800C5" w:rsidRDefault="00AF5926" w:rsidP="00AF5926">
      <w:pPr>
        <w:pStyle w:val="Normaltindrag"/>
        <w:keepNext/>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Försäkringstekniska avsättningar</w:t>
      </w:r>
    </w:p>
    <w:p w14:paraId="69FAF502" w14:textId="77777777" w:rsidR="00AF5926" w:rsidRPr="00E800C5" w:rsidRDefault="00AF5926" w:rsidP="00AF5926">
      <w:pPr>
        <w:pStyle w:val="Normaltindrag"/>
        <w:ind w:left="1134" w:right="-2"/>
        <w:rPr>
          <w:rFonts w:asciiTheme="minorHAnsi" w:hAnsiTheme="minorHAnsi" w:cstheme="minorHAnsi"/>
          <w:szCs w:val="24"/>
        </w:rPr>
      </w:pPr>
      <w:r w:rsidRPr="00E800C5">
        <w:rPr>
          <w:rFonts w:asciiTheme="minorHAnsi" w:hAnsiTheme="minorHAnsi" w:cstheme="minorHAnsi"/>
          <w:szCs w:val="24"/>
        </w:rPr>
        <w:t>Försäkringstekniska avsättningar ska värderas i enlighet</w:t>
      </w:r>
      <w:r>
        <w:rPr>
          <w:rFonts w:asciiTheme="minorHAnsi" w:hAnsiTheme="minorHAnsi" w:cstheme="minorHAnsi"/>
          <w:szCs w:val="24"/>
        </w:rPr>
        <w:t xml:space="preserve"> med</w:t>
      </w:r>
      <w:r w:rsidRPr="00E800C5">
        <w:rPr>
          <w:rFonts w:asciiTheme="minorHAnsi" w:hAnsiTheme="minorHAnsi" w:cstheme="minorHAnsi"/>
          <w:szCs w:val="24"/>
        </w:rPr>
        <w:t xml:space="preserve"> </w:t>
      </w:r>
      <w:r>
        <w:rPr>
          <w:rFonts w:asciiTheme="minorHAnsi" w:hAnsiTheme="minorHAnsi" w:cstheme="minorHAnsi"/>
          <w:szCs w:val="24"/>
        </w:rPr>
        <w:t>Försäkringstekniska riktlinjer</w:t>
      </w:r>
      <w:r w:rsidRPr="00E800C5">
        <w:rPr>
          <w:rFonts w:asciiTheme="minorHAnsi" w:hAnsiTheme="minorHAnsi" w:cstheme="minorHAnsi"/>
          <w:szCs w:val="24"/>
        </w:rPr>
        <w:t>.</w:t>
      </w:r>
    </w:p>
    <w:p w14:paraId="5B96301B"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r w:rsidRPr="00E800C5">
        <w:rPr>
          <w:rFonts w:asciiTheme="minorHAnsi" w:hAnsiTheme="minorHAnsi" w:cstheme="minorHAnsi"/>
          <w:szCs w:val="24"/>
          <w:u w:val="single"/>
        </w:rPr>
        <w:t>Uppskjuten skatteskuld</w:t>
      </w:r>
    </w:p>
    <w:p w14:paraId="2BC0689B" w14:textId="77777777" w:rsidR="00AF5926" w:rsidRPr="00E800C5" w:rsidRDefault="00AF5926" w:rsidP="00AF5926">
      <w:pPr>
        <w:pStyle w:val="Normaltindrag"/>
        <w:keepNext/>
        <w:keepLines/>
        <w:ind w:left="1134" w:right="-2"/>
        <w:rPr>
          <w:rFonts w:asciiTheme="minorHAnsi" w:hAnsiTheme="minorHAnsi" w:cstheme="minorHAnsi"/>
          <w:szCs w:val="24"/>
        </w:rPr>
      </w:pPr>
      <w:r w:rsidRPr="00E800C5">
        <w:rPr>
          <w:rFonts w:asciiTheme="minorHAnsi" w:hAnsiTheme="minorHAnsi" w:cstheme="minorHAnsi"/>
          <w:szCs w:val="24"/>
        </w:rPr>
        <w:t>Uppskjuten skatteskuld ska omvärderas i enlighet med Avsnitt</w:t>
      </w:r>
      <w:r>
        <w:t xml:space="preserve"> Uppskjuten skatt</w:t>
      </w:r>
      <w:r w:rsidRPr="00E800C5">
        <w:rPr>
          <w:rFonts w:asciiTheme="minorHAnsi" w:hAnsiTheme="minorHAnsi" w:cstheme="minorHAnsi"/>
          <w:szCs w:val="24"/>
        </w:rPr>
        <w:t>.</w:t>
      </w:r>
    </w:p>
    <w:p w14:paraId="0F79D243" w14:textId="77777777" w:rsidR="00AF5926" w:rsidRPr="00E800C5" w:rsidRDefault="00AF5926" w:rsidP="00AF5926">
      <w:pPr>
        <w:pStyle w:val="Normaltindrag"/>
        <w:keepNext/>
        <w:keepLines/>
        <w:numPr>
          <w:ilvl w:val="0"/>
          <w:numId w:val="19"/>
        </w:numPr>
        <w:ind w:left="1134" w:right="-2" w:hanging="425"/>
        <w:rPr>
          <w:rFonts w:asciiTheme="minorHAnsi" w:hAnsiTheme="minorHAnsi" w:cstheme="minorHAnsi"/>
          <w:szCs w:val="24"/>
          <w:u w:val="single"/>
        </w:rPr>
      </w:pPr>
      <w:proofErr w:type="spellStart"/>
      <w:r w:rsidRPr="00E800C5">
        <w:rPr>
          <w:rFonts w:asciiTheme="minorHAnsi" w:hAnsiTheme="minorHAnsi" w:cstheme="minorHAnsi"/>
          <w:szCs w:val="24"/>
          <w:u w:val="single"/>
        </w:rPr>
        <w:t>Eventualförpliktelser</w:t>
      </w:r>
      <w:proofErr w:type="spellEnd"/>
    </w:p>
    <w:p w14:paraId="4F84008C" w14:textId="77777777" w:rsidR="00AF5926" w:rsidRPr="00E800C5" w:rsidRDefault="00AF5926" w:rsidP="00AF5926">
      <w:pPr>
        <w:pStyle w:val="Normaltindrag"/>
        <w:keepNext/>
        <w:keepLines/>
        <w:ind w:left="1134" w:right="-2"/>
        <w:rPr>
          <w:rFonts w:asciiTheme="minorHAnsi" w:hAnsiTheme="minorHAnsi" w:cstheme="minorHAnsi"/>
          <w:szCs w:val="24"/>
        </w:rPr>
      </w:pPr>
      <w:r w:rsidRPr="00E800C5">
        <w:rPr>
          <w:rFonts w:asciiTheme="minorHAnsi" w:hAnsiTheme="minorHAnsi" w:cstheme="minorHAnsi"/>
          <w:szCs w:val="24"/>
        </w:rPr>
        <w:t xml:space="preserve">En </w:t>
      </w:r>
      <w:proofErr w:type="spellStart"/>
      <w:r w:rsidRPr="00E800C5">
        <w:rPr>
          <w:rFonts w:asciiTheme="minorHAnsi" w:hAnsiTheme="minorHAnsi" w:cstheme="minorHAnsi"/>
          <w:szCs w:val="24"/>
        </w:rPr>
        <w:t>eventualförpliktelse</w:t>
      </w:r>
      <w:proofErr w:type="spellEnd"/>
      <w:r w:rsidRPr="00E800C5">
        <w:rPr>
          <w:rFonts w:asciiTheme="minorHAnsi" w:hAnsiTheme="minorHAnsi" w:cstheme="minorHAnsi"/>
          <w:szCs w:val="24"/>
        </w:rPr>
        <w:t xml:space="preserve"> värderas genom det förväntade, sannolikhetsvägda nuvärde av framtida kassaflöden som är nödvändiga att uppfylla </w:t>
      </w:r>
      <w:proofErr w:type="spellStart"/>
      <w:r w:rsidRPr="00E800C5">
        <w:rPr>
          <w:rFonts w:asciiTheme="minorHAnsi" w:hAnsiTheme="minorHAnsi" w:cstheme="minorHAnsi"/>
          <w:szCs w:val="24"/>
        </w:rPr>
        <w:t>eventualförpliktelsen</w:t>
      </w:r>
      <w:proofErr w:type="spellEnd"/>
      <w:r w:rsidRPr="00E800C5">
        <w:rPr>
          <w:rFonts w:asciiTheme="minorHAnsi" w:hAnsiTheme="minorHAnsi" w:cstheme="minorHAnsi"/>
          <w:szCs w:val="24"/>
        </w:rPr>
        <w:t>.</w:t>
      </w:r>
    </w:p>
    <w:p w14:paraId="1615DB25" w14:textId="77777777" w:rsidR="00AF5926" w:rsidRPr="00E800C5" w:rsidRDefault="00AF5926" w:rsidP="00AF5926">
      <w:pPr>
        <w:pStyle w:val="Rubrik1"/>
        <w:pageBreakBefore/>
        <w:tabs>
          <w:tab w:val="left" w:pos="709"/>
        </w:tabs>
        <w:spacing w:before="240" w:after="60" w:line="276" w:lineRule="auto"/>
        <w:ind w:left="709" w:right="-2" w:hanging="709"/>
        <w:rPr>
          <w:rFonts w:asciiTheme="minorHAnsi" w:hAnsiTheme="minorHAnsi" w:cstheme="minorHAnsi"/>
          <w:sz w:val="24"/>
          <w:szCs w:val="24"/>
        </w:rPr>
      </w:pPr>
      <w:bookmarkStart w:id="85" w:name="_Toc390858808"/>
      <w:bookmarkStart w:id="86" w:name="_Toc390858809"/>
      <w:bookmarkStart w:id="87" w:name="_Toc407003342"/>
      <w:bookmarkStart w:id="88" w:name="_Toc425796937"/>
      <w:bookmarkStart w:id="89" w:name="_Toc428124016"/>
      <w:bookmarkEnd w:id="85"/>
      <w:bookmarkEnd w:id="86"/>
      <w:r>
        <w:rPr>
          <w:rFonts w:asciiTheme="minorHAnsi" w:hAnsiTheme="minorHAnsi" w:cstheme="minorHAnsi"/>
          <w:sz w:val="24"/>
          <w:szCs w:val="24"/>
        </w:rPr>
        <w:lastRenderedPageBreak/>
        <w:tab/>
      </w:r>
      <w:r w:rsidRPr="00E800C5">
        <w:rPr>
          <w:rFonts w:asciiTheme="minorHAnsi" w:hAnsiTheme="minorHAnsi" w:cstheme="minorHAnsi"/>
          <w:sz w:val="24"/>
          <w:szCs w:val="24"/>
        </w:rPr>
        <w:t>Kapitalbasmedel</w:t>
      </w:r>
      <w:bookmarkEnd w:id="87"/>
      <w:bookmarkEnd w:id="88"/>
      <w:bookmarkEnd w:id="89"/>
    </w:p>
    <w:p w14:paraId="5F84DD93"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 xml:space="preserve">Bolagets kapitalbasmedel ska beräknas i enlighet med kraven och vägledning som utfärdats i form av relaterade lagar och regelverk vid varje gällande tidpunkt. </w:t>
      </w:r>
    </w:p>
    <w:p w14:paraId="07354705"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Bolaget ska härleda kapitalbasmedel i enlighet med dessa lagar och regelverk.</w:t>
      </w:r>
    </w:p>
    <w:p w14:paraId="21F22C89" w14:textId="77777777" w:rsidR="00AF5926" w:rsidRPr="00E800C5" w:rsidRDefault="00AF5926" w:rsidP="00AF5926">
      <w:pPr>
        <w:pStyle w:val="Normaltindrag"/>
        <w:shd w:val="clear" w:color="auto" w:fill="D9D9D9" w:themeFill="background1" w:themeFillShade="D9"/>
        <w:ind w:right="-2"/>
        <w:rPr>
          <w:rFonts w:asciiTheme="minorHAnsi" w:hAnsiTheme="minorHAnsi" w:cstheme="minorHAnsi"/>
          <w:szCs w:val="24"/>
        </w:rPr>
      </w:pPr>
      <w:r w:rsidRPr="00E800C5">
        <w:rPr>
          <w:rFonts w:asciiTheme="minorHAnsi" w:hAnsiTheme="minorHAnsi" w:cstheme="minorHAnsi"/>
          <w:szCs w:val="24"/>
        </w:rPr>
        <w:t>Regelverkets kapitalbasregler handlar om att</w:t>
      </w:r>
    </w:p>
    <w:p w14:paraId="62A35391" w14:textId="77777777" w:rsidR="00AF5926" w:rsidRPr="00E800C5" w:rsidRDefault="00AF5926" w:rsidP="00AF5926">
      <w:pPr>
        <w:pStyle w:val="Normaltindrag"/>
        <w:numPr>
          <w:ilvl w:val="0"/>
          <w:numId w:val="20"/>
        </w:numPr>
        <w:shd w:val="clear" w:color="auto" w:fill="D9D9D9" w:themeFill="background1" w:themeFillShade="D9"/>
        <w:ind w:left="1134" w:right="-2" w:hanging="425"/>
        <w:rPr>
          <w:rFonts w:asciiTheme="minorHAnsi" w:hAnsiTheme="minorHAnsi" w:cstheme="minorHAnsi"/>
          <w:szCs w:val="24"/>
        </w:rPr>
      </w:pPr>
      <w:r w:rsidRPr="00E800C5">
        <w:rPr>
          <w:rFonts w:asciiTheme="minorHAnsi" w:hAnsiTheme="minorHAnsi" w:cstheme="minorHAnsi"/>
          <w:szCs w:val="24"/>
        </w:rPr>
        <w:t>Fastställa kapitalbasmedel</w:t>
      </w:r>
    </w:p>
    <w:p w14:paraId="2EC9CCAD" w14:textId="77777777" w:rsidR="00AF5926" w:rsidRPr="00E800C5" w:rsidRDefault="00AF5926" w:rsidP="00AF5926">
      <w:pPr>
        <w:pStyle w:val="Normaltindrag"/>
        <w:numPr>
          <w:ilvl w:val="0"/>
          <w:numId w:val="20"/>
        </w:numPr>
        <w:shd w:val="clear" w:color="auto" w:fill="D9D9D9" w:themeFill="background1" w:themeFillShade="D9"/>
        <w:ind w:left="1134" w:right="-2" w:hanging="425"/>
        <w:rPr>
          <w:rFonts w:asciiTheme="minorHAnsi" w:hAnsiTheme="minorHAnsi" w:cstheme="minorHAnsi"/>
          <w:szCs w:val="24"/>
        </w:rPr>
      </w:pPr>
      <w:r w:rsidRPr="00E800C5">
        <w:rPr>
          <w:rFonts w:asciiTheme="minorHAnsi" w:hAnsiTheme="minorHAnsi" w:cstheme="minorHAnsi"/>
          <w:szCs w:val="24"/>
        </w:rPr>
        <w:t>Klassificera kapitalbasmedel</w:t>
      </w:r>
    </w:p>
    <w:p w14:paraId="0EBDCB03" w14:textId="77777777" w:rsidR="00AF5926" w:rsidRPr="00E800C5" w:rsidRDefault="00AF5926" w:rsidP="00AF5926">
      <w:pPr>
        <w:pStyle w:val="Normaltindrag"/>
        <w:numPr>
          <w:ilvl w:val="0"/>
          <w:numId w:val="20"/>
        </w:numPr>
        <w:shd w:val="clear" w:color="auto" w:fill="D9D9D9" w:themeFill="background1" w:themeFillShade="D9"/>
        <w:ind w:left="1134" w:right="-2" w:hanging="425"/>
        <w:rPr>
          <w:rFonts w:asciiTheme="minorHAnsi" w:hAnsiTheme="minorHAnsi" w:cstheme="minorHAnsi"/>
          <w:szCs w:val="24"/>
        </w:rPr>
      </w:pPr>
      <w:r w:rsidRPr="00E800C5">
        <w:rPr>
          <w:rFonts w:asciiTheme="minorHAnsi" w:hAnsiTheme="minorHAnsi" w:cstheme="minorHAnsi"/>
          <w:szCs w:val="24"/>
        </w:rPr>
        <w:t>Bedöma möjlighet till medräkningsbarhet.</w:t>
      </w:r>
    </w:p>
    <w:p w14:paraId="2221F47A" w14:textId="77777777" w:rsidR="00AF5926" w:rsidRPr="00E800C5" w:rsidRDefault="00AF5926" w:rsidP="00AF5926">
      <w:pPr>
        <w:pStyle w:val="Normaltindrag"/>
        <w:keepNext/>
        <w:keepLines/>
        <w:shd w:val="clear" w:color="auto" w:fill="D9D9D9" w:themeFill="background1" w:themeFillShade="D9"/>
        <w:ind w:right="-2"/>
        <w:rPr>
          <w:rFonts w:asciiTheme="minorHAnsi" w:hAnsiTheme="minorHAnsi" w:cstheme="minorHAnsi"/>
          <w:szCs w:val="24"/>
        </w:rPr>
      </w:pPr>
      <w:r w:rsidRPr="00E800C5">
        <w:rPr>
          <w:rFonts w:asciiTheme="minorHAnsi" w:hAnsiTheme="minorHAnsi" w:cstheme="minorHAnsi"/>
          <w:szCs w:val="24"/>
        </w:rPr>
        <w:t xml:space="preserve">Dessa kapitalbasmedel används sedan för att täcka solvenskapitalkravet (SCR) och minimikapitalkravet (MCR) enligt följande: </w:t>
      </w:r>
    </w:p>
    <w:p w14:paraId="0BACC39E" w14:textId="77777777" w:rsidR="00AF5926" w:rsidRPr="00E800C5" w:rsidRDefault="00AF5926" w:rsidP="00AF5926">
      <w:pPr>
        <w:pStyle w:val="Normaltindrag"/>
        <w:keepNext/>
        <w:keepLines/>
        <w:numPr>
          <w:ilvl w:val="0"/>
          <w:numId w:val="20"/>
        </w:numPr>
        <w:shd w:val="clear" w:color="auto" w:fill="D9D9D9" w:themeFill="background1" w:themeFillShade="D9"/>
        <w:ind w:left="1134" w:right="-2" w:hanging="425"/>
        <w:rPr>
          <w:rFonts w:asciiTheme="minorHAnsi" w:hAnsiTheme="minorHAnsi" w:cstheme="minorHAnsi"/>
          <w:szCs w:val="24"/>
        </w:rPr>
      </w:pPr>
      <w:r w:rsidRPr="00E800C5">
        <w:rPr>
          <w:rFonts w:asciiTheme="minorHAnsi" w:hAnsiTheme="minorHAnsi" w:cstheme="minorHAnsi"/>
          <w:szCs w:val="24"/>
        </w:rPr>
        <w:t>Medräkningsbara kapitalbasmedel ska täcka solvenskapitalkravet (SCR)</w:t>
      </w:r>
    </w:p>
    <w:p w14:paraId="7DD928F6" w14:textId="77777777" w:rsidR="00AF5926" w:rsidRPr="00E800C5" w:rsidRDefault="00AF5926" w:rsidP="00AF5926">
      <w:pPr>
        <w:pStyle w:val="Normaltindrag"/>
        <w:numPr>
          <w:ilvl w:val="0"/>
          <w:numId w:val="20"/>
        </w:numPr>
        <w:shd w:val="clear" w:color="auto" w:fill="D9D9D9" w:themeFill="background1" w:themeFillShade="D9"/>
        <w:ind w:left="1134" w:right="-2" w:hanging="425"/>
        <w:rPr>
          <w:rFonts w:asciiTheme="minorHAnsi" w:hAnsiTheme="minorHAnsi" w:cstheme="minorHAnsi"/>
          <w:szCs w:val="24"/>
        </w:rPr>
      </w:pPr>
      <w:r w:rsidRPr="00E800C5">
        <w:rPr>
          <w:rFonts w:asciiTheme="minorHAnsi" w:hAnsiTheme="minorHAnsi" w:cstheme="minorHAnsi"/>
          <w:szCs w:val="24"/>
        </w:rPr>
        <w:t>Medräkningsbart primärkapital ska täcka minimikapitalkravet (MCR).</w:t>
      </w:r>
    </w:p>
    <w:p w14:paraId="0F0557C9"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90" w:name="_Toc407003343"/>
      <w:bookmarkStart w:id="91" w:name="_Toc425796938"/>
      <w:bookmarkStart w:id="92" w:name="_Toc428124017"/>
      <w:r>
        <w:rPr>
          <w:rFonts w:asciiTheme="minorHAnsi" w:hAnsiTheme="minorHAnsi" w:cstheme="minorHAnsi"/>
          <w:sz w:val="24"/>
          <w:szCs w:val="24"/>
        </w:rPr>
        <w:tab/>
      </w:r>
      <w:r w:rsidRPr="00E800C5">
        <w:rPr>
          <w:rFonts w:asciiTheme="minorHAnsi" w:hAnsiTheme="minorHAnsi" w:cstheme="minorHAnsi"/>
          <w:sz w:val="24"/>
          <w:szCs w:val="24"/>
        </w:rPr>
        <w:t>Fastställande av kapitalbasmedel</w:t>
      </w:r>
      <w:bookmarkEnd w:id="90"/>
      <w:bookmarkEnd w:id="91"/>
      <w:bookmarkEnd w:id="92"/>
    </w:p>
    <w:p w14:paraId="5B057B95" w14:textId="77777777" w:rsidR="00AF5926" w:rsidRPr="00E800C5" w:rsidRDefault="00AF5926" w:rsidP="00AF5926">
      <w:pPr>
        <w:pStyle w:val="Normaltindrag"/>
        <w:keepNext/>
        <w:keepLines/>
        <w:ind w:right="-2"/>
        <w:rPr>
          <w:rFonts w:asciiTheme="minorHAnsi" w:hAnsiTheme="minorHAnsi" w:cstheme="minorHAnsi"/>
          <w:szCs w:val="24"/>
        </w:rPr>
      </w:pPr>
      <w:r w:rsidRPr="00E800C5">
        <w:rPr>
          <w:rFonts w:asciiTheme="minorHAnsi" w:hAnsiTheme="minorHAnsi" w:cstheme="minorHAnsi"/>
          <w:szCs w:val="24"/>
        </w:rPr>
        <w:t>Kapitalbasen ska omfatta summan av primärkapital och tilläggskapital.</w:t>
      </w:r>
    </w:p>
    <w:p w14:paraId="7C62DA7E"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u w:val="single"/>
        </w:rPr>
        <w:t>Primärkapitalet</w:t>
      </w:r>
      <w:r w:rsidRPr="00E800C5">
        <w:rPr>
          <w:rFonts w:asciiTheme="minorHAnsi" w:hAnsiTheme="minorHAnsi" w:cstheme="minorHAnsi"/>
          <w:szCs w:val="24"/>
        </w:rPr>
        <w:t xml:space="preserve"> består av den positiva skillnaden mellan tillgångar och skulder, värderad enligt värderingsprinciper under Solvens 2, samt efterställda skulder.</w:t>
      </w:r>
    </w:p>
    <w:p w14:paraId="77650C08"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u w:val="single"/>
        </w:rPr>
        <w:t>Tilläggskapitalet</w:t>
      </w:r>
      <w:r w:rsidRPr="00E800C5">
        <w:rPr>
          <w:rFonts w:asciiTheme="minorHAnsi" w:hAnsiTheme="minorHAnsi" w:cstheme="minorHAnsi"/>
          <w:szCs w:val="24"/>
        </w:rPr>
        <w:t xml:space="preserve"> består av poster utöver dem som ingår i primärkapitalet och som kan krävas in för att täcka förluster. Tilläggskapitalet består därmed av poster som inte är upptagna i solvensbalansräkningen. Tillsyns</w:t>
      </w:r>
      <w:r w:rsidRPr="00E800C5">
        <w:rPr>
          <w:rFonts w:asciiTheme="minorHAnsi" w:hAnsiTheme="minorHAnsi" w:cstheme="minorHAnsi"/>
          <w:szCs w:val="24"/>
        </w:rPr>
        <w:softHyphen/>
        <w:t>myndig</w:t>
      </w:r>
      <w:r w:rsidRPr="00E800C5">
        <w:rPr>
          <w:rFonts w:asciiTheme="minorHAnsi" w:hAnsiTheme="minorHAnsi" w:cstheme="minorHAnsi"/>
          <w:szCs w:val="24"/>
        </w:rPr>
        <w:softHyphen/>
        <w:t>heten förhandsgranskar värdet av poster i tilläggskapitalet innan de kan användas i kapitalbasen.</w:t>
      </w:r>
    </w:p>
    <w:p w14:paraId="7A8B7D46"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u w:val="single"/>
        </w:rPr>
        <w:t xml:space="preserve">Bolagets kapital är definierad som </w:t>
      </w:r>
      <w:proofErr w:type="gramStart"/>
      <w:r w:rsidRPr="00E800C5">
        <w:rPr>
          <w:rFonts w:asciiTheme="minorHAnsi" w:hAnsiTheme="minorHAnsi" w:cstheme="minorHAnsi"/>
          <w:szCs w:val="24"/>
          <w:u w:val="single"/>
        </w:rPr>
        <w:t>primärkapital nivå</w:t>
      </w:r>
      <w:proofErr w:type="gramEnd"/>
      <w:r w:rsidRPr="00E800C5">
        <w:rPr>
          <w:rFonts w:asciiTheme="minorHAnsi" w:hAnsiTheme="minorHAnsi" w:cstheme="minorHAnsi"/>
          <w:szCs w:val="24"/>
          <w:u w:val="single"/>
        </w:rPr>
        <w:t xml:space="preserve"> 1</w:t>
      </w:r>
    </w:p>
    <w:p w14:paraId="5451D5B3" w14:textId="77777777" w:rsidR="00AF5926" w:rsidRPr="00E800C5" w:rsidRDefault="00AF5926" w:rsidP="00AF5926">
      <w:pPr>
        <w:pStyle w:val="Rubrik2"/>
        <w:numPr>
          <w:ilvl w:val="1"/>
          <w:numId w:val="0"/>
        </w:numPr>
        <w:tabs>
          <w:tab w:val="left" w:pos="709"/>
        </w:tabs>
        <w:spacing w:after="60" w:line="276" w:lineRule="auto"/>
        <w:ind w:left="709" w:right="-2" w:hanging="709"/>
        <w:rPr>
          <w:rFonts w:asciiTheme="minorHAnsi" w:hAnsiTheme="minorHAnsi" w:cstheme="minorHAnsi"/>
          <w:sz w:val="24"/>
          <w:szCs w:val="24"/>
        </w:rPr>
      </w:pPr>
      <w:bookmarkStart w:id="93" w:name="_Toc407003348"/>
      <w:bookmarkStart w:id="94" w:name="_Toc425796939"/>
      <w:bookmarkStart w:id="95" w:name="_Toc428124018"/>
      <w:r>
        <w:rPr>
          <w:rFonts w:asciiTheme="minorHAnsi" w:hAnsiTheme="minorHAnsi" w:cstheme="minorHAnsi"/>
          <w:sz w:val="24"/>
          <w:szCs w:val="24"/>
        </w:rPr>
        <w:tab/>
      </w:r>
      <w:r w:rsidRPr="00E800C5">
        <w:rPr>
          <w:rFonts w:asciiTheme="minorHAnsi" w:hAnsiTheme="minorHAnsi" w:cstheme="minorHAnsi"/>
          <w:sz w:val="24"/>
          <w:szCs w:val="24"/>
        </w:rPr>
        <w:t>Möjlighet till medräkningsbarhet</w:t>
      </w:r>
      <w:bookmarkEnd w:id="93"/>
      <w:bookmarkEnd w:id="94"/>
      <w:bookmarkEnd w:id="95"/>
    </w:p>
    <w:p w14:paraId="628003D3"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bookmarkStart w:id="96" w:name="_Toc407003349"/>
      <w:bookmarkStart w:id="97" w:name="_Toc425796940"/>
      <w:bookmarkStart w:id="98" w:name="_Toc428124019"/>
      <w:r>
        <w:rPr>
          <w:rFonts w:asciiTheme="minorHAnsi" w:hAnsiTheme="minorHAnsi" w:cstheme="minorHAnsi"/>
          <w:sz w:val="24"/>
          <w:szCs w:val="24"/>
        </w:rPr>
        <w:tab/>
      </w:r>
      <w:r w:rsidRPr="00E800C5">
        <w:rPr>
          <w:rFonts w:asciiTheme="minorHAnsi" w:hAnsiTheme="minorHAnsi" w:cstheme="minorHAnsi"/>
          <w:sz w:val="24"/>
          <w:szCs w:val="24"/>
        </w:rPr>
        <w:t>Efterlevnad av solvenskapitalkravet</w:t>
      </w:r>
      <w:bookmarkEnd w:id="96"/>
      <w:bookmarkEnd w:id="97"/>
      <w:bookmarkEnd w:id="98"/>
    </w:p>
    <w:p w14:paraId="641FA0A6"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I fråga om efterlevnaden av solvenskapitalkravet (SCR) gäller följande kvantitativa gränsvärden för de medräkningsbara kapitalbasmedel:</w:t>
      </w:r>
      <w:r w:rsidRPr="00E800C5">
        <w:rPr>
          <w:rStyle w:val="Fotnotsreferens"/>
          <w:rFonts w:asciiTheme="minorHAnsi" w:hAnsiTheme="minorHAnsi" w:cstheme="minorHAnsi"/>
          <w:szCs w:val="24"/>
        </w:rPr>
        <w:t xml:space="preserve"> </w:t>
      </w:r>
    </w:p>
    <w:p w14:paraId="2C62E8D5"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Det medräkningsbara beloppet av Nivå 1 poster ska vara minst 50% av SCR.</w:t>
      </w:r>
    </w:p>
    <w:p w14:paraId="698AF5C3"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Det medräkningsbara beloppet av Nivå 3 poster ska vara mindre än 15% av SCR.</w:t>
      </w:r>
    </w:p>
    <w:p w14:paraId="1303377F"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lastRenderedPageBreak/>
        <w:t>Summan av de medräkningsbara beloppen av Nivå 2 och 3 poster ska inte överstiga 50% av SCR.</w:t>
      </w:r>
    </w:p>
    <w:p w14:paraId="7D74CE10"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Inom de ovan givna ramarna ska summan av följande primärkapitalposter utgöra mindre än 20% av det totala beloppet av nivå 1 poster:</w:t>
      </w:r>
    </w:p>
    <w:p w14:paraId="05122E3B"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Efterställda skulder.</w:t>
      </w:r>
    </w:p>
    <w:p w14:paraId="25844EFF"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Poster inom nivå 1 primärkapital som resulterar av övergångs</w:t>
      </w:r>
      <w:r w:rsidRPr="00E800C5">
        <w:rPr>
          <w:rFonts w:asciiTheme="minorHAnsi" w:hAnsiTheme="minorHAnsi" w:cstheme="minorHAnsi"/>
          <w:szCs w:val="24"/>
        </w:rPr>
        <w:softHyphen/>
        <w:t>bestämmel</w:t>
      </w:r>
      <w:r w:rsidRPr="00E800C5">
        <w:rPr>
          <w:rFonts w:asciiTheme="minorHAnsi" w:hAnsiTheme="minorHAnsi" w:cstheme="minorHAnsi"/>
          <w:szCs w:val="24"/>
        </w:rPr>
        <w:softHyphen/>
        <w:t>serna.</w:t>
      </w:r>
    </w:p>
    <w:p w14:paraId="5FD76400" w14:textId="77777777" w:rsidR="00AF5926" w:rsidRPr="00E800C5" w:rsidRDefault="00AF5926" w:rsidP="00AF5926">
      <w:pPr>
        <w:pStyle w:val="Rubrik3"/>
        <w:numPr>
          <w:ilvl w:val="2"/>
          <w:numId w:val="0"/>
        </w:numPr>
        <w:tabs>
          <w:tab w:val="left" w:pos="709"/>
          <w:tab w:val="num" w:pos="1440"/>
        </w:tabs>
        <w:spacing w:before="240" w:after="60"/>
        <w:ind w:left="709" w:right="-2" w:hanging="709"/>
        <w:rPr>
          <w:rFonts w:asciiTheme="minorHAnsi" w:hAnsiTheme="minorHAnsi" w:cstheme="minorHAnsi"/>
          <w:sz w:val="24"/>
          <w:szCs w:val="24"/>
        </w:rPr>
      </w:pPr>
      <w:bookmarkStart w:id="99" w:name="_Toc407003350"/>
      <w:bookmarkStart w:id="100" w:name="_Toc425796941"/>
      <w:bookmarkStart w:id="101" w:name="_Toc428124020"/>
      <w:r>
        <w:rPr>
          <w:rFonts w:asciiTheme="minorHAnsi" w:hAnsiTheme="minorHAnsi" w:cstheme="minorHAnsi"/>
          <w:sz w:val="24"/>
          <w:szCs w:val="24"/>
        </w:rPr>
        <w:tab/>
      </w:r>
      <w:r w:rsidRPr="00E800C5">
        <w:rPr>
          <w:rFonts w:asciiTheme="minorHAnsi" w:hAnsiTheme="minorHAnsi" w:cstheme="minorHAnsi"/>
          <w:sz w:val="24"/>
          <w:szCs w:val="24"/>
        </w:rPr>
        <w:t>Efterlevnad av minimikapitalkravet</w:t>
      </w:r>
      <w:bookmarkEnd w:id="99"/>
      <w:bookmarkEnd w:id="100"/>
      <w:bookmarkEnd w:id="101"/>
    </w:p>
    <w:p w14:paraId="65244C42"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I fråga om efterlevnaden av minimikapitalkravet (MCR) ska följande kvantitativa gränsvärden gälla för det medräkningsbara primärkapitalet:</w:t>
      </w:r>
    </w:p>
    <w:p w14:paraId="3C8E6E46"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Det medräkningsbara beloppet av Nivå 1 poster ska vara minst 80% av MCR.</w:t>
      </w:r>
    </w:p>
    <w:p w14:paraId="3F29354B"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Det medräkningsbara beloppet av Nivå 2 poster ska vara mindre än 20% av MCR.</w:t>
      </w:r>
    </w:p>
    <w:p w14:paraId="2AEE4B20" w14:textId="77777777" w:rsidR="00AF5926" w:rsidRPr="00E800C5" w:rsidRDefault="00AF5926" w:rsidP="00AF5926">
      <w:pPr>
        <w:pStyle w:val="Normaltindrag"/>
        <w:ind w:right="-2"/>
        <w:rPr>
          <w:rFonts w:asciiTheme="minorHAnsi" w:hAnsiTheme="minorHAnsi" w:cstheme="minorHAnsi"/>
          <w:szCs w:val="24"/>
        </w:rPr>
      </w:pPr>
      <w:r w:rsidRPr="00E800C5">
        <w:rPr>
          <w:rFonts w:asciiTheme="minorHAnsi" w:hAnsiTheme="minorHAnsi" w:cstheme="minorHAnsi"/>
          <w:szCs w:val="24"/>
        </w:rPr>
        <w:t>Inom de ovan givna ramarna ska summan av följande primärkapitalposter utgöra mindre än 20% av det totala beloppet av nivå 1 poster:</w:t>
      </w:r>
    </w:p>
    <w:p w14:paraId="12C4CC0A" w14:textId="77777777" w:rsidR="00AF5926" w:rsidRDefault="00AF5926" w:rsidP="00AF5926">
      <w:pPr>
        <w:pStyle w:val="Normaltindrag"/>
        <w:numPr>
          <w:ilvl w:val="0"/>
          <w:numId w:val="19"/>
        </w:numPr>
        <w:ind w:left="1134" w:right="-2" w:hanging="425"/>
        <w:rPr>
          <w:rFonts w:asciiTheme="minorHAnsi" w:hAnsiTheme="minorHAnsi" w:cstheme="minorHAnsi"/>
          <w:szCs w:val="24"/>
        </w:rPr>
      </w:pPr>
      <w:r w:rsidRPr="00E800C5">
        <w:rPr>
          <w:rFonts w:asciiTheme="minorHAnsi" w:hAnsiTheme="minorHAnsi" w:cstheme="minorHAnsi"/>
          <w:szCs w:val="24"/>
        </w:rPr>
        <w:t xml:space="preserve"> Efterställda skulder.</w:t>
      </w:r>
    </w:p>
    <w:p w14:paraId="22D46511" w14:textId="77777777" w:rsidR="00AF5926" w:rsidRPr="00E800C5" w:rsidRDefault="00AF5926" w:rsidP="00AF5926">
      <w:pPr>
        <w:pStyle w:val="Normaltindrag"/>
        <w:numPr>
          <w:ilvl w:val="0"/>
          <w:numId w:val="19"/>
        </w:numPr>
        <w:ind w:left="1134" w:right="-2" w:hanging="425"/>
        <w:rPr>
          <w:rFonts w:asciiTheme="minorHAnsi" w:hAnsiTheme="minorHAnsi" w:cstheme="minorHAnsi"/>
          <w:szCs w:val="24"/>
        </w:rPr>
      </w:pPr>
      <w:r w:rsidRPr="009B52A4">
        <w:rPr>
          <w:szCs w:val="24"/>
        </w:rPr>
        <w:t>Poster inom nivå 1 primärkapital som resulterar av övergångsbestämmelserna.</w:t>
      </w:r>
    </w:p>
    <w:p w14:paraId="4935F0F3" w14:textId="77777777" w:rsidR="00AF5926" w:rsidRPr="00E800C5" w:rsidRDefault="00AF5926" w:rsidP="00AF5926">
      <w:pPr>
        <w:ind w:right="-2"/>
        <w:rPr>
          <w:sz w:val="24"/>
          <w:szCs w:val="24"/>
        </w:rPr>
      </w:pPr>
    </w:p>
    <w:p w14:paraId="356987D3" w14:textId="77777777" w:rsidR="00AF5926" w:rsidRPr="00E800C5" w:rsidRDefault="00AF5926" w:rsidP="00AF5926">
      <w:pPr>
        <w:autoSpaceDE w:val="0"/>
        <w:autoSpaceDN w:val="0"/>
        <w:adjustRightInd w:val="0"/>
        <w:spacing w:after="0" w:line="240" w:lineRule="auto"/>
        <w:ind w:left="1134" w:right="-2"/>
        <w:rPr>
          <w:color w:val="000000"/>
          <w:sz w:val="24"/>
          <w:szCs w:val="24"/>
        </w:rPr>
      </w:pPr>
    </w:p>
    <w:p w14:paraId="5759FCF5" w14:textId="3C8D7406" w:rsidR="00276F79" w:rsidRDefault="00276F79" w:rsidP="00AF5926">
      <w:pPr>
        <w:pStyle w:val="Liststycke"/>
        <w:ind w:left="0" w:right="-2"/>
        <w:rPr>
          <w:rFonts w:eastAsia="Times New Roman" w:cs="Times New Roman"/>
          <w:b/>
          <w:sz w:val="28"/>
          <w:szCs w:val="28"/>
        </w:rPr>
      </w:pPr>
    </w:p>
    <w:p w14:paraId="324A2E74" w14:textId="77777777" w:rsidR="00276F79" w:rsidRDefault="00276F79" w:rsidP="00AF5926">
      <w:pPr>
        <w:pStyle w:val="Liststycke"/>
        <w:ind w:right="-2"/>
        <w:rPr>
          <w:sz w:val="24"/>
          <w:szCs w:val="24"/>
        </w:rPr>
      </w:pPr>
    </w:p>
    <w:sectPr w:rsidR="00276F79" w:rsidSect="009928A6">
      <w:footerReference w:type="even" r:id="rId8"/>
      <w:footerReference w:type="default" r:id="rId9"/>
      <w:headerReference w:type="first" r:id="rId10"/>
      <w:footerReference w:type="first" r:id="rId1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AC0891" w14:textId="77777777" w:rsidR="00CF74E5" w:rsidRDefault="00CF74E5" w:rsidP="00BF282B">
      <w:pPr>
        <w:spacing w:after="0" w:line="240" w:lineRule="auto"/>
      </w:pPr>
      <w:r>
        <w:separator/>
      </w:r>
    </w:p>
  </w:endnote>
  <w:endnote w:type="continuationSeparator" w:id="0">
    <w:p w14:paraId="34C06965" w14:textId="77777777" w:rsidR="00CF74E5" w:rsidRDefault="00CF74E5"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5E4813D3" w14:textId="77777777" w:rsidTr="00986A1D">
      <w:tc>
        <w:tcPr>
          <w:tcW w:w="5812" w:type="dxa"/>
        </w:tcPr>
        <w:p w14:paraId="7F2E6635" w14:textId="77777777" w:rsidR="00986A1D" w:rsidRPr="009B4E2A" w:rsidRDefault="00986A1D" w:rsidP="00986A1D">
          <w:pPr>
            <w:pStyle w:val="Sidfot"/>
          </w:pPr>
          <w:r w:rsidRPr="00B239BF">
            <w:t>Göteborgs Stad</w:t>
          </w:r>
          <w:r>
            <w:rPr>
              <w:b/>
            </w:rP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r>
            <w:rPr>
              <w:b/>
            </w:rP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842541">
                <w:t>Rutin för hantering av e-post</w:t>
              </w:r>
            </w:sdtContent>
          </w:sdt>
        </w:p>
      </w:tc>
      <w:tc>
        <w:tcPr>
          <w:tcW w:w="1343" w:type="dxa"/>
        </w:tcPr>
        <w:p w14:paraId="3213FA83" w14:textId="77777777" w:rsidR="00986A1D" w:rsidRPr="009B4E2A" w:rsidRDefault="00986A1D" w:rsidP="00986A1D">
          <w:pPr>
            <w:pStyle w:val="Sidfot"/>
          </w:pPr>
        </w:p>
      </w:tc>
      <w:tc>
        <w:tcPr>
          <w:tcW w:w="1917" w:type="dxa"/>
        </w:tcPr>
        <w:p w14:paraId="437E45C9"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7A7F8D">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7A7F8D">
            <w:rPr>
              <w:noProof/>
            </w:rPr>
            <w:t>1</w:t>
          </w:r>
          <w:r w:rsidR="00B10E8B">
            <w:rPr>
              <w:noProof/>
            </w:rPr>
            <w:fldChar w:fldCharType="end"/>
          </w:r>
          <w:r w:rsidRPr="009B4E2A">
            <w:t>)</w:t>
          </w:r>
        </w:p>
      </w:tc>
    </w:tr>
    <w:tr w:rsidR="00986A1D" w14:paraId="502BC375" w14:textId="77777777" w:rsidTr="00986A1D">
      <w:tc>
        <w:tcPr>
          <w:tcW w:w="5812" w:type="dxa"/>
        </w:tcPr>
        <w:p w14:paraId="0E2D5D66" w14:textId="77777777" w:rsidR="00986A1D" w:rsidRPr="00F66187" w:rsidRDefault="00986A1D" w:rsidP="00986A1D">
          <w:pPr>
            <w:pStyle w:val="Sidfot"/>
            <w:rPr>
              <w:rStyle w:val="Platshllartext"/>
              <w:color w:val="auto"/>
            </w:rPr>
          </w:pPr>
        </w:p>
      </w:tc>
      <w:tc>
        <w:tcPr>
          <w:tcW w:w="1343" w:type="dxa"/>
        </w:tcPr>
        <w:p w14:paraId="7D64BA10" w14:textId="77777777" w:rsidR="00986A1D" w:rsidRDefault="00986A1D" w:rsidP="00986A1D">
          <w:pPr>
            <w:pStyle w:val="Sidfot"/>
          </w:pPr>
        </w:p>
      </w:tc>
      <w:tc>
        <w:tcPr>
          <w:tcW w:w="1917" w:type="dxa"/>
        </w:tcPr>
        <w:p w14:paraId="1C42F7DE" w14:textId="77777777" w:rsidR="00986A1D" w:rsidRDefault="00986A1D" w:rsidP="00986A1D">
          <w:pPr>
            <w:pStyle w:val="Sidfot"/>
            <w:jc w:val="right"/>
          </w:pPr>
        </w:p>
      </w:tc>
    </w:tr>
    <w:tr w:rsidR="00986A1D" w14:paraId="420AD244" w14:textId="77777777" w:rsidTr="00986A1D">
      <w:tc>
        <w:tcPr>
          <w:tcW w:w="5812" w:type="dxa"/>
        </w:tcPr>
        <w:p w14:paraId="39F6481B" w14:textId="77777777" w:rsidR="00986A1D" w:rsidRDefault="00986A1D" w:rsidP="00986A1D">
          <w:pPr>
            <w:pStyle w:val="Sidfot"/>
          </w:pPr>
        </w:p>
      </w:tc>
      <w:tc>
        <w:tcPr>
          <w:tcW w:w="1343" w:type="dxa"/>
        </w:tcPr>
        <w:p w14:paraId="3838FD2A" w14:textId="77777777" w:rsidR="00986A1D" w:rsidRDefault="00986A1D" w:rsidP="00986A1D">
          <w:pPr>
            <w:pStyle w:val="Sidfot"/>
          </w:pPr>
        </w:p>
      </w:tc>
      <w:tc>
        <w:tcPr>
          <w:tcW w:w="1917" w:type="dxa"/>
        </w:tcPr>
        <w:p w14:paraId="7D55076D" w14:textId="77777777" w:rsidR="00986A1D" w:rsidRDefault="00986A1D" w:rsidP="00986A1D">
          <w:pPr>
            <w:pStyle w:val="Sidfot"/>
            <w:jc w:val="right"/>
          </w:pPr>
        </w:p>
      </w:tc>
    </w:tr>
  </w:tbl>
  <w:p w14:paraId="3431434F" w14:textId="77777777" w:rsidR="00F57801" w:rsidRPr="00F66187" w:rsidRDefault="00F57801">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5812"/>
      <w:gridCol w:w="1343"/>
      <w:gridCol w:w="1917"/>
    </w:tblGrid>
    <w:tr w:rsidR="00986A1D" w:rsidRPr="009B4E2A" w14:paraId="1EBCF0F3" w14:textId="77777777" w:rsidTr="00986A1D">
      <w:tc>
        <w:tcPr>
          <w:tcW w:w="5812" w:type="dxa"/>
        </w:tcPr>
        <w:p w14:paraId="736C6A28" w14:textId="77777777" w:rsidR="00752CBB" w:rsidRDefault="00752CBB">
          <w:pPr>
            <w:pStyle w:val="Sidfot"/>
          </w:pPr>
        </w:p>
      </w:tc>
      <w:tc>
        <w:tcPr>
          <w:tcW w:w="1343" w:type="dxa"/>
        </w:tcPr>
        <w:p w14:paraId="21316BAE" w14:textId="77777777" w:rsidR="00986A1D" w:rsidRPr="009B4E2A" w:rsidRDefault="00986A1D" w:rsidP="00986A1D">
          <w:pPr>
            <w:pStyle w:val="Sidfot"/>
          </w:pPr>
        </w:p>
      </w:tc>
      <w:tc>
        <w:tcPr>
          <w:tcW w:w="1917" w:type="dxa"/>
        </w:tcPr>
        <w:p w14:paraId="7FFCC275" w14:textId="77777777" w:rsidR="00986A1D" w:rsidRPr="009B4E2A" w:rsidRDefault="00986A1D" w:rsidP="00986A1D">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986A1D" w14:paraId="518B957F" w14:textId="77777777" w:rsidTr="00986A1D">
      <w:tc>
        <w:tcPr>
          <w:tcW w:w="5812" w:type="dxa"/>
        </w:tcPr>
        <w:p w14:paraId="51746A3A" w14:textId="77777777" w:rsidR="00986A1D" w:rsidRPr="00F66187" w:rsidRDefault="00986A1D" w:rsidP="00986A1D">
          <w:pPr>
            <w:pStyle w:val="Sidfot"/>
            <w:rPr>
              <w:rStyle w:val="Platshllartext"/>
              <w:color w:val="auto"/>
            </w:rPr>
          </w:pPr>
        </w:p>
      </w:tc>
      <w:tc>
        <w:tcPr>
          <w:tcW w:w="1343" w:type="dxa"/>
        </w:tcPr>
        <w:p w14:paraId="7A1C05A3" w14:textId="77777777" w:rsidR="00986A1D" w:rsidRDefault="00986A1D" w:rsidP="00986A1D">
          <w:pPr>
            <w:pStyle w:val="Sidfot"/>
          </w:pPr>
        </w:p>
      </w:tc>
      <w:tc>
        <w:tcPr>
          <w:tcW w:w="1917" w:type="dxa"/>
        </w:tcPr>
        <w:p w14:paraId="201144DD" w14:textId="77777777" w:rsidR="00986A1D" w:rsidRDefault="00986A1D" w:rsidP="00986A1D">
          <w:pPr>
            <w:pStyle w:val="Sidfot"/>
            <w:jc w:val="right"/>
          </w:pPr>
        </w:p>
      </w:tc>
    </w:tr>
    <w:tr w:rsidR="00986A1D" w14:paraId="27E18355" w14:textId="77777777" w:rsidTr="00986A1D">
      <w:tc>
        <w:tcPr>
          <w:tcW w:w="5812" w:type="dxa"/>
        </w:tcPr>
        <w:p w14:paraId="72F3005A" w14:textId="77777777" w:rsidR="00986A1D" w:rsidRDefault="00986A1D" w:rsidP="00986A1D">
          <w:pPr>
            <w:pStyle w:val="Sidfot"/>
          </w:pPr>
        </w:p>
      </w:tc>
      <w:tc>
        <w:tcPr>
          <w:tcW w:w="1343" w:type="dxa"/>
        </w:tcPr>
        <w:p w14:paraId="6F616704" w14:textId="77777777" w:rsidR="00986A1D" w:rsidRDefault="00986A1D" w:rsidP="00986A1D">
          <w:pPr>
            <w:pStyle w:val="Sidfot"/>
          </w:pPr>
        </w:p>
      </w:tc>
      <w:tc>
        <w:tcPr>
          <w:tcW w:w="1917" w:type="dxa"/>
        </w:tcPr>
        <w:p w14:paraId="06B9FB12" w14:textId="77777777" w:rsidR="00986A1D" w:rsidRDefault="00986A1D" w:rsidP="00986A1D">
          <w:pPr>
            <w:pStyle w:val="Sidfot"/>
            <w:jc w:val="right"/>
          </w:pPr>
        </w:p>
      </w:tc>
    </w:tr>
  </w:tbl>
  <w:p w14:paraId="11782AA6" w14:textId="77777777" w:rsidR="00F57801" w:rsidRPr="00F66187" w:rsidRDefault="00F57801">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80" w:firstRow="0" w:lastRow="0" w:firstColumn="1" w:lastColumn="0" w:noHBand="0" w:noVBand="1"/>
    </w:tblPr>
    <w:tblGrid>
      <w:gridCol w:w="3319"/>
      <w:gridCol w:w="3799"/>
      <w:gridCol w:w="1954"/>
    </w:tblGrid>
    <w:tr w:rsidR="00FB3384" w:rsidRPr="009B4E2A" w14:paraId="4E701621" w14:textId="77777777" w:rsidTr="00FB3384">
      <w:tc>
        <w:tcPr>
          <w:tcW w:w="7118" w:type="dxa"/>
          <w:gridSpan w:val="2"/>
        </w:tcPr>
        <w:p w14:paraId="7C42B147" w14:textId="77777777" w:rsidR="00752CBB" w:rsidRDefault="00752CBB" w:rsidP="007A7F8D">
          <w:pPr>
            <w:pStyle w:val="Sidfot"/>
          </w:pPr>
        </w:p>
      </w:tc>
      <w:tc>
        <w:tcPr>
          <w:tcW w:w="1954" w:type="dxa"/>
        </w:tcPr>
        <w:p w14:paraId="2597DFC4" w14:textId="77777777" w:rsidR="00FB3384" w:rsidRPr="009B4E2A" w:rsidRDefault="00FB3384" w:rsidP="00BD0663">
          <w:pPr>
            <w:pStyle w:val="Sidfot"/>
            <w:jc w:val="right"/>
          </w:pPr>
          <w:r w:rsidRPr="009B4E2A">
            <w:fldChar w:fldCharType="begin"/>
          </w:r>
          <w:r w:rsidRPr="009B4E2A">
            <w:instrText xml:space="preserve"> PAGE   \* MERGEFORMAT </w:instrText>
          </w:r>
          <w:r w:rsidRPr="009B4E2A">
            <w:fldChar w:fldCharType="separate"/>
          </w:r>
          <w:r w:rsidR="009928A6">
            <w:rPr>
              <w:noProof/>
            </w:rPr>
            <w:t>1</w:t>
          </w:r>
          <w:r w:rsidRPr="009B4E2A">
            <w:fldChar w:fldCharType="end"/>
          </w:r>
          <w:r w:rsidRPr="009B4E2A">
            <w:t xml:space="preserve"> (</w:t>
          </w:r>
          <w:r w:rsidR="00B10E8B">
            <w:rPr>
              <w:noProof/>
            </w:rPr>
            <w:fldChar w:fldCharType="begin"/>
          </w:r>
          <w:r w:rsidR="00B10E8B">
            <w:rPr>
              <w:noProof/>
            </w:rPr>
            <w:instrText xml:space="preserve"> NUMPAGES   \* MERGEFORMAT </w:instrText>
          </w:r>
          <w:r w:rsidR="00B10E8B">
            <w:rPr>
              <w:noProof/>
            </w:rPr>
            <w:fldChar w:fldCharType="separate"/>
          </w:r>
          <w:r w:rsidR="009928A6">
            <w:rPr>
              <w:noProof/>
            </w:rPr>
            <w:t>1</w:t>
          </w:r>
          <w:r w:rsidR="00B10E8B">
            <w:rPr>
              <w:noProof/>
            </w:rPr>
            <w:fldChar w:fldCharType="end"/>
          </w:r>
          <w:r w:rsidRPr="009B4E2A">
            <w:t>)</w:t>
          </w:r>
        </w:p>
      </w:tc>
    </w:tr>
    <w:tr w:rsidR="00FB3384" w14:paraId="47140FF7" w14:textId="77777777" w:rsidTr="00FB3384">
      <w:tc>
        <w:tcPr>
          <w:tcW w:w="3319" w:type="dxa"/>
        </w:tcPr>
        <w:p w14:paraId="3D0DC51B" w14:textId="77777777" w:rsidR="00FB3384" w:rsidRPr="00F66187" w:rsidRDefault="00FB3384" w:rsidP="00BD0663">
          <w:pPr>
            <w:pStyle w:val="Sidfot"/>
            <w:rPr>
              <w:rStyle w:val="Platshllartext"/>
              <w:color w:val="auto"/>
            </w:rPr>
          </w:pPr>
        </w:p>
      </w:tc>
      <w:tc>
        <w:tcPr>
          <w:tcW w:w="3799" w:type="dxa"/>
        </w:tcPr>
        <w:p w14:paraId="544F83D6" w14:textId="77777777" w:rsidR="00FB3384" w:rsidRDefault="00FB3384" w:rsidP="00BD0663">
          <w:pPr>
            <w:pStyle w:val="Sidfot"/>
          </w:pPr>
        </w:p>
      </w:tc>
      <w:tc>
        <w:tcPr>
          <w:tcW w:w="1954" w:type="dxa"/>
          <w:vMerge w:val="restart"/>
          <w:vAlign w:val="bottom"/>
        </w:tcPr>
        <w:p w14:paraId="09817938" w14:textId="77777777" w:rsidR="00FB3384" w:rsidRDefault="00FB3384" w:rsidP="00FB3384">
          <w:pPr>
            <w:pStyle w:val="Sidfot"/>
            <w:jc w:val="right"/>
          </w:pPr>
        </w:p>
      </w:tc>
    </w:tr>
    <w:tr w:rsidR="00FB3384" w14:paraId="027E99A5" w14:textId="77777777" w:rsidTr="00FB3384">
      <w:tc>
        <w:tcPr>
          <w:tcW w:w="3319" w:type="dxa"/>
        </w:tcPr>
        <w:p w14:paraId="67B56087" w14:textId="77777777" w:rsidR="00FB3384" w:rsidRDefault="00FB3384" w:rsidP="00BD0663">
          <w:pPr>
            <w:pStyle w:val="Sidfot"/>
          </w:pPr>
        </w:p>
      </w:tc>
      <w:tc>
        <w:tcPr>
          <w:tcW w:w="3799" w:type="dxa"/>
        </w:tcPr>
        <w:p w14:paraId="3445072A" w14:textId="77777777" w:rsidR="00FB3384" w:rsidRDefault="00FB3384" w:rsidP="00BD0663">
          <w:pPr>
            <w:pStyle w:val="Sidfot"/>
          </w:pPr>
        </w:p>
      </w:tc>
      <w:tc>
        <w:tcPr>
          <w:tcW w:w="1954" w:type="dxa"/>
          <w:vMerge/>
        </w:tcPr>
        <w:p w14:paraId="5730B438" w14:textId="77777777" w:rsidR="00FB3384" w:rsidRDefault="00FB3384" w:rsidP="00BD0663">
          <w:pPr>
            <w:pStyle w:val="Sidfot"/>
            <w:jc w:val="right"/>
          </w:pPr>
        </w:p>
      </w:tc>
    </w:tr>
  </w:tbl>
  <w:p w14:paraId="4DD9057D" w14:textId="77777777" w:rsidR="00BD0663" w:rsidRDefault="00BD06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081F3C" w14:textId="77777777" w:rsidR="00CF74E5" w:rsidRDefault="00CF74E5" w:rsidP="00BF282B">
      <w:pPr>
        <w:spacing w:after="0" w:line="240" w:lineRule="auto"/>
      </w:pPr>
      <w:r>
        <w:separator/>
      </w:r>
    </w:p>
  </w:footnote>
  <w:footnote w:type="continuationSeparator" w:id="0">
    <w:p w14:paraId="365BBB3C" w14:textId="77777777" w:rsidR="00CF74E5" w:rsidRDefault="00CF74E5"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80" w:firstRow="0" w:lastRow="0" w:firstColumn="1" w:lastColumn="0" w:noHBand="0" w:noVBand="1"/>
    </w:tblPr>
    <w:tblGrid>
      <w:gridCol w:w="5103"/>
      <w:gridCol w:w="3969"/>
    </w:tblGrid>
    <w:tr w:rsidR="00FB3B58" w14:paraId="01142BCB" w14:textId="77777777" w:rsidTr="00083B2E">
      <w:tc>
        <w:tcPr>
          <w:tcW w:w="5103" w:type="dxa"/>
          <w:tcBorders>
            <w:bottom w:val="nil"/>
          </w:tcBorders>
          <w:vAlign w:val="center"/>
        </w:tcPr>
        <w:p w14:paraId="51F254D3" w14:textId="77777777" w:rsidR="00752CBB" w:rsidRDefault="0062068E">
          <w:pPr>
            <w:pStyle w:val="Sidhuvud"/>
            <w:spacing w:after="100"/>
          </w:pPr>
          <w:sdt>
            <w:sdtPr>
              <w:id w:val="-491096506"/>
              <w:dataBinding w:prefixMappings="xmlns:ns0='http://schemas.openxmlformats.org/officeDocument/2006/extended-properties' " w:xpath="/ns0:Properties[1]/ns0:Company[1]" w:storeItemID="{6668398D-A668-4E3E-A5EB-62B293D839F1}"/>
              <w:text/>
            </w:sdtPr>
            <w:sdtEndPr/>
            <w:sdtContent>
              <w:r w:rsidR="00B630A6">
                <w:t>Försäkrings AB Göta Lejon</w:t>
              </w:r>
            </w:sdtContent>
          </w:sdt>
        </w:p>
      </w:tc>
      <w:tc>
        <w:tcPr>
          <w:tcW w:w="3969" w:type="dxa"/>
          <w:tcBorders>
            <w:bottom w:val="nil"/>
          </w:tcBorders>
        </w:tcPr>
        <w:p w14:paraId="58AD07E1" w14:textId="77777777" w:rsidR="00FB3B58" w:rsidRDefault="000B6F6F" w:rsidP="00FB3B58">
          <w:pPr>
            <w:pStyle w:val="Sidhuvud"/>
            <w:spacing w:after="100"/>
            <w:jc w:val="right"/>
          </w:pPr>
          <w:r>
            <w:rPr>
              <w:noProof/>
              <w:lang w:eastAsia="sv-SE"/>
            </w:rPr>
            <w:drawing>
              <wp:inline distT="0" distB="0" distL="0" distR="0" wp14:anchorId="722A304C" wp14:editId="578BCF9D">
                <wp:extent cx="1441706" cy="481584"/>
                <wp:effectExtent l="0" t="0" r="8255" b="0"/>
                <wp:docPr id="1" name="Bildobjekt 1" descr="Göteborgs Stad logotyp"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2D650F31" w14:textId="77777777" w:rsidTr="00083B2E">
      <w:tc>
        <w:tcPr>
          <w:tcW w:w="5103" w:type="dxa"/>
          <w:tcBorders>
            <w:top w:val="nil"/>
            <w:bottom w:val="single" w:sz="4" w:space="0" w:color="auto"/>
          </w:tcBorders>
          <w:shd w:val="clear" w:color="auto" w:fill="auto"/>
        </w:tcPr>
        <w:p w14:paraId="7DE0B12E" w14:textId="77777777" w:rsidR="00FB3B58" w:rsidRDefault="0062068E" w:rsidP="00FB3B58">
          <w:pPr>
            <w:pStyle w:val="Sidhuvud"/>
            <w:spacing w:after="100"/>
          </w:pPr>
        </w:p>
      </w:tc>
      <w:tc>
        <w:tcPr>
          <w:tcW w:w="3969" w:type="dxa"/>
          <w:tcBorders>
            <w:bottom w:val="single" w:sz="4" w:space="0" w:color="auto"/>
          </w:tcBorders>
          <w:shd w:val="clear" w:color="auto" w:fill="auto"/>
        </w:tcPr>
        <w:p w14:paraId="2FFA38E2" w14:textId="77777777" w:rsidR="00FB3B58" w:rsidRDefault="0062068E" w:rsidP="00FB3B58">
          <w:pPr>
            <w:pStyle w:val="Sidhuvud"/>
            <w:spacing w:after="100"/>
            <w:jc w:val="right"/>
          </w:pPr>
        </w:p>
      </w:tc>
    </w:tr>
  </w:tbl>
  <w:p w14:paraId="1904A385" w14:textId="77777777" w:rsidR="00176AF5" w:rsidRDefault="0062068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86474"/>
    <w:multiLevelType w:val="hybridMultilevel"/>
    <w:tmpl w:val="1AA6CA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272772"/>
    <w:multiLevelType w:val="hybridMultilevel"/>
    <w:tmpl w:val="12627E0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0A9C2F94"/>
    <w:multiLevelType w:val="hybridMultilevel"/>
    <w:tmpl w:val="012AFFA8"/>
    <w:lvl w:ilvl="0" w:tplc="041D0001">
      <w:start w:val="1"/>
      <w:numFmt w:val="bullet"/>
      <w:lvlText w:val=""/>
      <w:lvlJc w:val="left"/>
      <w:pPr>
        <w:ind w:left="1038" w:hanging="360"/>
      </w:pPr>
      <w:rPr>
        <w:rFonts w:ascii="Symbol" w:hAnsi="Symbol" w:hint="default"/>
      </w:rPr>
    </w:lvl>
    <w:lvl w:ilvl="1" w:tplc="041D0003" w:tentative="1">
      <w:start w:val="1"/>
      <w:numFmt w:val="bullet"/>
      <w:lvlText w:val="o"/>
      <w:lvlJc w:val="left"/>
      <w:pPr>
        <w:ind w:left="1758" w:hanging="360"/>
      </w:pPr>
      <w:rPr>
        <w:rFonts w:ascii="Courier New" w:hAnsi="Courier New" w:cs="Courier New" w:hint="default"/>
      </w:rPr>
    </w:lvl>
    <w:lvl w:ilvl="2" w:tplc="041D0005" w:tentative="1">
      <w:start w:val="1"/>
      <w:numFmt w:val="bullet"/>
      <w:lvlText w:val=""/>
      <w:lvlJc w:val="left"/>
      <w:pPr>
        <w:ind w:left="2478" w:hanging="360"/>
      </w:pPr>
      <w:rPr>
        <w:rFonts w:ascii="Wingdings" w:hAnsi="Wingdings" w:hint="default"/>
      </w:rPr>
    </w:lvl>
    <w:lvl w:ilvl="3" w:tplc="041D0001" w:tentative="1">
      <w:start w:val="1"/>
      <w:numFmt w:val="bullet"/>
      <w:lvlText w:val=""/>
      <w:lvlJc w:val="left"/>
      <w:pPr>
        <w:ind w:left="3198" w:hanging="360"/>
      </w:pPr>
      <w:rPr>
        <w:rFonts w:ascii="Symbol" w:hAnsi="Symbol" w:hint="default"/>
      </w:rPr>
    </w:lvl>
    <w:lvl w:ilvl="4" w:tplc="041D0003" w:tentative="1">
      <w:start w:val="1"/>
      <w:numFmt w:val="bullet"/>
      <w:lvlText w:val="o"/>
      <w:lvlJc w:val="left"/>
      <w:pPr>
        <w:ind w:left="3918" w:hanging="360"/>
      </w:pPr>
      <w:rPr>
        <w:rFonts w:ascii="Courier New" w:hAnsi="Courier New" w:cs="Courier New" w:hint="default"/>
      </w:rPr>
    </w:lvl>
    <w:lvl w:ilvl="5" w:tplc="041D0005" w:tentative="1">
      <w:start w:val="1"/>
      <w:numFmt w:val="bullet"/>
      <w:lvlText w:val=""/>
      <w:lvlJc w:val="left"/>
      <w:pPr>
        <w:ind w:left="4638" w:hanging="360"/>
      </w:pPr>
      <w:rPr>
        <w:rFonts w:ascii="Wingdings" w:hAnsi="Wingdings" w:hint="default"/>
      </w:rPr>
    </w:lvl>
    <w:lvl w:ilvl="6" w:tplc="041D0001" w:tentative="1">
      <w:start w:val="1"/>
      <w:numFmt w:val="bullet"/>
      <w:lvlText w:val=""/>
      <w:lvlJc w:val="left"/>
      <w:pPr>
        <w:ind w:left="5358" w:hanging="360"/>
      </w:pPr>
      <w:rPr>
        <w:rFonts w:ascii="Symbol" w:hAnsi="Symbol" w:hint="default"/>
      </w:rPr>
    </w:lvl>
    <w:lvl w:ilvl="7" w:tplc="041D0003" w:tentative="1">
      <w:start w:val="1"/>
      <w:numFmt w:val="bullet"/>
      <w:lvlText w:val="o"/>
      <w:lvlJc w:val="left"/>
      <w:pPr>
        <w:ind w:left="6078" w:hanging="360"/>
      </w:pPr>
      <w:rPr>
        <w:rFonts w:ascii="Courier New" w:hAnsi="Courier New" w:cs="Courier New" w:hint="default"/>
      </w:rPr>
    </w:lvl>
    <w:lvl w:ilvl="8" w:tplc="041D0005" w:tentative="1">
      <w:start w:val="1"/>
      <w:numFmt w:val="bullet"/>
      <w:lvlText w:val=""/>
      <w:lvlJc w:val="left"/>
      <w:pPr>
        <w:ind w:left="6798" w:hanging="360"/>
      </w:pPr>
      <w:rPr>
        <w:rFonts w:ascii="Wingdings" w:hAnsi="Wingdings" w:hint="default"/>
      </w:rPr>
    </w:lvl>
  </w:abstractNum>
  <w:abstractNum w:abstractNumId="3" w15:restartNumberingAfterBreak="0">
    <w:nsid w:val="0AFB66BE"/>
    <w:multiLevelType w:val="hybridMultilevel"/>
    <w:tmpl w:val="C21C305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0E3B240A"/>
    <w:multiLevelType w:val="hybridMultilevel"/>
    <w:tmpl w:val="9FBC948C"/>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5" w15:restartNumberingAfterBreak="0">
    <w:nsid w:val="0E865C56"/>
    <w:multiLevelType w:val="hybridMultilevel"/>
    <w:tmpl w:val="0EE6D1AC"/>
    <w:lvl w:ilvl="0" w:tplc="DD020F5E">
      <w:start w:val="1"/>
      <w:numFmt w:val="bullet"/>
      <w:lvlText w:val=""/>
      <w:lvlJc w:val="left"/>
      <w:pPr>
        <w:tabs>
          <w:tab w:val="num" w:pos="780"/>
        </w:tabs>
        <w:ind w:left="780" w:hanging="360"/>
      </w:pPr>
      <w:rPr>
        <w:rFonts w:ascii="Wingdings" w:hAnsi="Wingdings" w:hint="default"/>
      </w:rPr>
    </w:lvl>
    <w:lvl w:ilvl="1" w:tplc="041D0003">
      <w:start w:val="1"/>
      <w:numFmt w:val="bullet"/>
      <w:lvlText w:val="o"/>
      <w:lvlJc w:val="left"/>
      <w:pPr>
        <w:tabs>
          <w:tab w:val="num" w:pos="1500"/>
        </w:tabs>
        <w:ind w:left="1500" w:hanging="360"/>
      </w:pPr>
      <w:rPr>
        <w:rFonts w:ascii="Courier New" w:hAnsi="Courier New" w:cs="Courier New" w:hint="default"/>
      </w:rPr>
    </w:lvl>
    <w:lvl w:ilvl="2" w:tplc="041D0005">
      <w:start w:val="1"/>
      <w:numFmt w:val="bullet"/>
      <w:lvlText w:val=""/>
      <w:lvlJc w:val="left"/>
      <w:pPr>
        <w:tabs>
          <w:tab w:val="num" w:pos="2220"/>
        </w:tabs>
        <w:ind w:left="2220" w:hanging="360"/>
      </w:pPr>
      <w:rPr>
        <w:rFonts w:ascii="Wingdings" w:hAnsi="Wingdings" w:hint="default"/>
      </w:rPr>
    </w:lvl>
    <w:lvl w:ilvl="3" w:tplc="041D0001">
      <w:start w:val="1"/>
      <w:numFmt w:val="bullet"/>
      <w:lvlText w:val=""/>
      <w:lvlJc w:val="left"/>
      <w:pPr>
        <w:tabs>
          <w:tab w:val="num" w:pos="2940"/>
        </w:tabs>
        <w:ind w:left="2940" w:hanging="360"/>
      </w:pPr>
      <w:rPr>
        <w:rFonts w:ascii="Symbol" w:hAnsi="Symbol" w:hint="default"/>
      </w:rPr>
    </w:lvl>
    <w:lvl w:ilvl="4" w:tplc="041D0003">
      <w:start w:val="1"/>
      <w:numFmt w:val="bullet"/>
      <w:lvlText w:val="o"/>
      <w:lvlJc w:val="left"/>
      <w:pPr>
        <w:tabs>
          <w:tab w:val="num" w:pos="3660"/>
        </w:tabs>
        <w:ind w:left="3660" w:hanging="360"/>
      </w:pPr>
      <w:rPr>
        <w:rFonts w:ascii="Courier New" w:hAnsi="Courier New" w:cs="Courier New" w:hint="default"/>
      </w:rPr>
    </w:lvl>
    <w:lvl w:ilvl="5" w:tplc="041D0005">
      <w:start w:val="1"/>
      <w:numFmt w:val="bullet"/>
      <w:lvlText w:val=""/>
      <w:lvlJc w:val="left"/>
      <w:pPr>
        <w:tabs>
          <w:tab w:val="num" w:pos="4380"/>
        </w:tabs>
        <w:ind w:left="4380" w:hanging="360"/>
      </w:pPr>
      <w:rPr>
        <w:rFonts w:ascii="Wingdings" w:hAnsi="Wingdings" w:hint="default"/>
      </w:rPr>
    </w:lvl>
    <w:lvl w:ilvl="6" w:tplc="041D0001">
      <w:start w:val="1"/>
      <w:numFmt w:val="bullet"/>
      <w:lvlText w:val=""/>
      <w:lvlJc w:val="left"/>
      <w:pPr>
        <w:tabs>
          <w:tab w:val="num" w:pos="5100"/>
        </w:tabs>
        <w:ind w:left="5100" w:hanging="360"/>
      </w:pPr>
      <w:rPr>
        <w:rFonts w:ascii="Symbol" w:hAnsi="Symbol" w:hint="default"/>
      </w:rPr>
    </w:lvl>
    <w:lvl w:ilvl="7" w:tplc="041D0003">
      <w:start w:val="1"/>
      <w:numFmt w:val="bullet"/>
      <w:lvlText w:val="o"/>
      <w:lvlJc w:val="left"/>
      <w:pPr>
        <w:tabs>
          <w:tab w:val="num" w:pos="5820"/>
        </w:tabs>
        <w:ind w:left="5820" w:hanging="360"/>
      </w:pPr>
      <w:rPr>
        <w:rFonts w:ascii="Courier New" w:hAnsi="Courier New" w:cs="Courier New" w:hint="default"/>
      </w:rPr>
    </w:lvl>
    <w:lvl w:ilvl="8" w:tplc="041D0005">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9284AED"/>
    <w:multiLevelType w:val="hybridMultilevel"/>
    <w:tmpl w:val="670C95B0"/>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7" w15:restartNumberingAfterBreak="0">
    <w:nsid w:val="1E671715"/>
    <w:multiLevelType w:val="hybridMultilevel"/>
    <w:tmpl w:val="7EB43C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3D13B49"/>
    <w:multiLevelType w:val="hybridMultilevel"/>
    <w:tmpl w:val="8E141B1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26816431"/>
    <w:multiLevelType w:val="hybridMultilevel"/>
    <w:tmpl w:val="00528060"/>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0" w15:restartNumberingAfterBreak="0">
    <w:nsid w:val="297F1942"/>
    <w:multiLevelType w:val="hybridMultilevel"/>
    <w:tmpl w:val="31829B7E"/>
    <w:lvl w:ilvl="0" w:tplc="04090001">
      <w:start w:val="1"/>
      <w:numFmt w:val="bullet"/>
      <w:lvlText w:val=""/>
      <w:lvlJc w:val="left"/>
      <w:pPr>
        <w:ind w:left="720" w:hanging="360"/>
      </w:pPr>
      <w:rPr>
        <w:rFonts w:ascii="Symbol" w:hAnsi="Symbol" w:hint="default"/>
      </w:rPr>
    </w:lvl>
    <w:lvl w:ilvl="1" w:tplc="751C584E">
      <w:numFmt w:val="bullet"/>
      <w:lvlText w:val="-"/>
      <w:lvlJc w:val="left"/>
      <w:pPr>
        <w:ind w:left="1440" w:hanging="360"/>
      </w:pPr>
      <w:rPr>
        <w:rFonts w:ascii="Times New Roman" w:eastAsia="Calibr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0C7B3B"/>
    <w:multiLevelType w:val="hybridMultilevel"/>
    <w:tmpl w:val="3AC4F778"/>
    <w:lvl w:ilvl="0" w:tplc="041D0005">
      <w:start w:val="1"/>
      <w:numFmt w:val="bullet"/>
      <w:lvlText w:val=""/>
      <w:lvlJc w:val="left"/>
      <w:pPr>
        <w:tabs>
          <w:tab w:val="num" w:pos="720"/>
        </w:tabs>
        <w:ind w:left="720" w:hanging="360"/>
      </w:pPr>
      <w:rPr>
        <w:rFonts w:ascii="Wingdings" w:hAnsi="Wingdings"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DAB2819"/>
    <w:multiLevelType w:val="hybridMultilevel"/>
    <w:tmpl w:val="F87EC0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3" w15:restartNumberingAfterBreak="0">
    <w:nsid w:val="2F78454D"/>
    <w:multiLevelType w:val="hybridMultilevel"/>
    <w:tmpl w:val="CBC03A6E"/>
    <w:lvl w:ilvl="0" w:tplc="041D0003">
      <w:start w:val="1"/>
      <w:numFmt w:val="bullet"/>
      <w:lvlText w:val="o"/>
      <w:lvlJc w:val="left"/>
      <w:pPr>
        <w:ind w:left="1080" w:hanging="360"/>
      </w:pPr>
      <w:rPr>
        <w:rFonts w:ascii="Courier New" w:hAnsi="Courier New" w:cs="Courier New"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342A7BF6"/>
    <w:multiLevelType w:val="hybridMultilevel"/>
    <w:tmpl w:val="ADCAB27C"/>
    <w:lvl w:ilvl="0" w:tplc="7BAAA69A">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B3558"/>
    <w:multiLevelType w:val="hybridMultilevel"/>
    <w:tmpl w:val="435A4A0C"/>
    <w:lvl w:ilvl="0" w:tplc="041D0001">
      <w:start w:val="1"/>
      <w:numFmt w:val="bullet"/>
      <w:lvlText w:val=""/>
      <w:lvlJc w:val="left"/>
      <w:pPr>
        <w:ind w:left="720" w:hanging="360"/>
      </w:pPr>
      <w:rPr>
        <w:rFonts w:ascii="Symbol" w:hAnsi="Symbol"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4E9741AD"/>
    <w:multiLevelType w:val="multilevel"/>
    <w:tmpl w:val="C7E2ABBA"/>
    <w:lvl w:ilvl="0">
      <w:start w:val="1"/>
      <w:numFmt w:val="decimal"/>
      <w:pStyle w:val="Rubrik11"/>
      <w:lvlText w:val="%1"/>
      <w:lvlJc w:val="left"/>
      <w:pPr>
        <w:ind w:left="432" w:hanging="432"/>
      </w:pPr>
    </w:lvl>
    <w:lvl w:ilvl="1">
      <w:start w:val="1"/>
      <w:numFmt w:val="decimal"/>
      <w:pStyle w:val="Rubrik21"/>
      <w:lvlText w:val="%1.%2"/>
      <w:lvlJc w:val="left"/>
      <w:pPr>
        <w:ind w:left="576" w:hanging="576"/>
      </w:pPr>
    </w:lvl>
    <w:lvl w:ilvl="2">
      <w:start w:val="1"/>
      <w:numFmt w:val="decimal"/>
      <w:pStyle w:val="Rubrik31"/>
      <w:lvlText w:val="%1.%2.%3"/>
      <w:lvlJc w:val="left"/>
      <w:pPr>
        <w:ind w:left="720" w:hanging="720"/>
      </w:pPr>
    </w:lvl>
    <w:lvl w:ilvl="3">
      <w:start w:val="1"/>
      <w:numFmt w:val="decimal"/>
      <w:pStyle w:val="Rubrik41"/>
      <w:lvlText w:val="%1.%2.%3.%4"/>
      <w:lvlJc w:val="left"/>
      <w:pPr>
        <w:ind w:left="864" w:hanging="864"/>
      </w:pPr>
    </w:lvl>
    <w:lvl w:ilvl="4">
      <w:start w:val="1"/>
      <w:numFmt w:val="decimal"/>
      <w:pStyle w:val="Rubrik51"/>
      <w:lvlText w:val="%1.%2.%3.%4.%5"/>
      <w:lvlJc w:val="left"/>
      <w:pPr>
        <w:ind w:left="1008" w:hanging="1008"/>
      </w:pPr>
    </w:lvl>
    <w:lvl w:ilvl="5">
      <w:start w:val="1"/>
      <w:numFmt w:val="decimal"/>
      <w:pStyle w:val="Rubrik61"/>
      <w:lvlText w:val="%1.%2.%3.%4.%5.%6"/>
      <w:lvlJc w:val="left"/>
      <w:pPr>
        <w:ind w:left="1152" w:hanging="1152"/>
      </w:pPr>
    </w:lvl>
    <w:lvl w:ilvl="6">
      <w:start w:val="1"/>
      <w:numFmt w:val="decimal"/>
      <w:pStyle w:val="Rubrik71"/>
      <w:lvlText w:val="%1.%2.%3.%4.%5.%6.%7"/>
      <w:lvlJc w:val="left"/>
      <w:pPr>
        <w:ind w:left="1296" w:hanging="1296"/>
      </w:pPr>
    </w:lvl>
    <w:lvl w:ilvl="7">
      <w:start w:val="1"/>
      <w:numFmt w:val="decimal"/>
      <w:pStyle w:val="Rubrik81"/>
      <w:lvlText w:val="%1.%2.%3.%4.%5.%6.%7.%8"/>
      <w:lvlJc w:val="left"/>
      <w:pPr>
        <w:ind w:left="1440" w:hanging="1440"/>
      </w:pPr>
    </w:lvl>
    <w:lvl w:ilvl="8">
      <w:start w:val="1"/>
      <w:numFmt w:val="decimal"/>
      <w:pStyle w:val="Rubrik91"/>
      <w:lvlText w:val="%1.%2.%3.%4.%5.%6.%7.%8.%9"/>
      <w:lvlJc w:val="left"/>
      <w:pPr>
        <w:ind w:left="1584" w:hanging="1584"/>
      </w:pPr>
    </w:lvl>
  </w:abstractNum>
  <w:abstractNum w:abstractNumId="17" w15:restartNumberingAfterBreak="0">
    <w:nsid w:val="50936682"/>
    <w:multiLevelType w:val="hybridMultilevel"/>
    <w:tmpl w:val="AE16F88C"/>
    <w:lvl w:ilvl="0" w:tplc="041D0001">
      <w:start w:val="1"/>
      <w:numFmt w:val="bullet"/>
      <w:lvlText w:val=""/>
      <w:lvlJc w:val="left"/>
      <w:pPr>
        <w:tabs>
          <w:tab w:val="num" w:pos="720"/>
        </w:tabs>
        <w:ind w:left="720" w:hanging="360"/>
      </w:pPr>
      <w:rPr>
        <w:rFonts w:ascii="Symbol" w:hAnsi="Symbol" w:hint="default"/>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084A49"/>
    <w:multiLevelType w:val="multilevel"/>
    <w:tmpl w:val="0AD007F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9" w15:restartNumberingAfterBreak="0">
    <w:nsid w:val="556B20E9"/>
    <w:multiLevelType w:val="hybridMultilevel"/>
    <w:tmpl w:val="7AD6FCBA"/>
    <w:lvl w:ilvl="0" w:tplc="041D0001">
      <w:start w:val="1"/>
      <w:numFmt w:val="bullet"/>
      <w:lvlText w:val=""/>
      <w:lvlJc w:val="left"/>
      <w:pPr>
        <w:ind w:left="1152" w:hanging="360"/>
      </w:pPr>
      <w:rPr>
        <w:rFonts w:ascii="Symbol" w:hAnsi="Symbol" w:hint="default"/>
      </w:rPr>
    </w:lvl>
    <w:lvl w:ilvl="1" w:tplc="041D0003" w:tentative="1">
      <w:start w:val="1"/>
      <w:numFmt w:val="bullet"/>
      <w:lvlText w:val="o"/>
      <w:lvlJc w:val="left"/>
      <w:pPr>
        <w:ind w:left="1872" w:hanging="360"/>
      </w:pPr>
      <w:rPr>
        <w:rFonts w:ascii="Courier New" w:hAnsi="Courier New" w:cs="Courier New" w:hint="default"/>
      </w:rPr>
    </w:lvl>
    <w:lvl w:ilvl="2" w:tplc="041D0005" w:tentative="1">
      <w:start w:val="1"/>
      <w:numFmt w:val="bullet"/>
      <w:lvlText w:val=""/>
      <w:lvlJc w:val="left"/>
      <w:pPr>
        <w:ind w:left="2592" w:hanging="360"/>
      </w:pPr>
      <w:rPr>
        <w:rFonts w:ascii="Wingdings" w:hAnsi="Wingdings" w:hint="default"/>
      </w:rPr>
    </w:lvl>
    <w:lvl w:ilvl="3" w:tplc="041D0001" w:tentative="1">
      <w:start w:val="1"/>
      <w:numFmt w:val="bullet"/>
      <w:lvlText w:val=""/>
      <w:lvlJc w:val="left"/>
      <w:pPr>
        <w:ind w:left="3312" w:hanging="360"/>
      </w:pPr>
      <w:rPr>
        <w:rFonts w:ascii="Symbol" w:hAnsi="Symbol" w:hint="default"/>
      </w:rPr>
    </w:lvl>
    <w:lvl w:ilvl="4" w:tplc="041D0003" w:tentative="1">
      <w:start w:val="1"/>
      <w:numFmt w:val="bullet"/>
      <w:lvlText w:val="o"/>
      <w:lvlJc w:val="left"/>
      <w:pPr>
        <w:ind w:left="4032" w:hanging="360"/>
      </w:pPr>
      <w:rPr>
        <w:rFonts w:ascii="Courier New" w:hAnsi="Courier New" w:cs="Courier New" w:hint="default"/>
      </w:rPr>
    </w:lvl>
    <w:lvl w:ilvl="5" w:tplc="041D0005" w:tentative="1">
      <w:start w:val="1"/>
      <w:numFmt w:val="bullet"/>
      <w:lvlText w:val=""/>
      <w:lvlJc w:val="left"/>
      <w:pPr>
        <w:ind w:left="4752" w:hanging="360"/>
      </w:pPr>
      <w:rPr>
        <w:rFonts w:ascii="Wingdings" w:hAnsi="Wingdings" w:hint="default"/>
      </w:rPr>
    </w:lvl>
    <w:lvl w:ilvl="6" w:tplc="041D0001" w:tentative="1">
      <w:start w:val="1"/>
      <w:numFmt w:val="bullet"/>
      <w:lvlText w:val=""/>
      <w:lvlJc w:val="left"/>
      <w:pPr>
        <w:ind w:left="5472" w:hanging="360"/>
      </w:pPr>
      <w:rPr>
        <w:rFonts w:ascii="Symbol" w:hAnsi="Symbol" w:hint="default"/>
      </w:rPr>
    </w:lvl>
    <w:lvl w:ilvl="7" w:tplc="041D0003" w:tentative="1">
      <w:start w:val="1"/>
      <w:numFmt w:val="bullet"/>
      <w:lvlText w:val="o"/>
      <w:lvlJc w:val="left"/>
      <w:pPr>
        <w:ind w:left="6192" w:hanging="360"/>
      </w:pPr>
      <w:rPr>
        <w:rFonts w:ascii="Courier New" w:hAnsi="Courier New" w:cs="Courier New" w:hint="default"/>
      </w:rPr>
    </w:lvl>
    <w:lvl w:ilvl="8" w:tplc="041D0005" w:tentative="1">
      <w:start w:val="1"/>
      <w:numFmt w:val="bullet"/>
      <w:lvlText w:val=""/>
      <w:lvlJc w:val="left"/>
      <w:pPr>
        <w:ind w:left="6912" w:hanging="360"/>
      </w:pPr>
      <w:rPr>
        <w:rFonts w:ascii="Wingdings" w:hAnsi="Wingdings" w:hint="default"/>
      </w:rPr>
    </w:lvl>
  </w:abstractNum>
  <w:abstractNum w:abstractNumId="20" w15:restartNumberingAfterBreak="0">
    <w:nsid w:val="576517AB"/>
    <w:multiLevelType w:val="hybridMultilevel"/>
    <w:tmpl w:val="53B83668"/>
    <w:lvl w:ilvl="0" w:tplc="7BAAA69A">
      <w:start w:val="1"/>
      <w:numFmt w:val="bullet"/>
      <w:lvlText w:val=""/>
      <w:lvlJc w:val="left"/>
      <w:pPr>
        <w:tabs>
          <w:tab w:val="num" w:pos="720"/>
        </w:tabs>
        <w:ind w:left="720" w:hanging="360"/>
      </w:pPr>
      <w:rPr>
        <w:rFonts w:ascii="Symbol" w:hAnsi="Symbol" w:hint="default"/>
        <w:color w:val="auto"/>
      </w:rPr>
    </w:lvl>
    <w:lvl w:ilvl="1" w:tplc="041D0003">
      <w:start w:val="1"/>
      <w:numFmt w:val="bullet"/>
      <w:lvlText w:val="o"/>
      <w:lvlJc w:val="left"/>
      <w:pPr>
        <w:tabs>
          <w:tab w:val="num" w:pos="1440"/>
        </w:tabs>
        <w:ind w:left="1440" w:hanging="360"/>
      </w:pPr>
      <w:rPr>
        <w:rFonts w:ascii="Courier New" w:hAnsi="Courier New" w:cs="Courier New" w:hint="default"/>
      </w:rPr>
    </w:lvl>
    <w:lvl w:ilvl="2" w:tplc="041D0005">
      <w:start w:val="1"/>
      <w:numFmt w:val="bullet"/>
      <w:lvlText w:val=""/>
      <w:lvlJc w:val="left"/>
      <w:pPr>
        <w:tabs>
          <w:tab w:val="num" w:pos="2160"/>
        </w:tabs>
        <w:ind w:left="2160" w:hanging="360"/>
      </w:pPr>
      <w:rPr>
        <w:rFonts w:ascii="Wingdings" w:hAnsi="Wingdings" w:hint="default"/>
      </w:rPr>
    </w:lvl>
    <w:lvl w:ilvl="3" w:tplc="041D0001">
      <w:start w:val="1"/>
      <w:numFmt w:val="bullet"/>
      <w:lvlText w:val=""/>
      <w:lvlJc w:val="left"/>
      <w:pPr>
        <w:tabs>
          <w:tab w:val="num" w:pos="2880"/>
        </w:tabs>
        <w:ind w:left="2880" w:hanging="360"/>
      </w:pPr>
      <w:rPr>
        <w:rFonts w:ascii="Symbol" w:hAnsi="Symbol" w:hint="default"/>
      </w:rPr>
    </w:lvl>
    <w:lvl w:ilvl="4" w:tplc="041D0003">
      <w:start w:val="1"/>
      <w:numFmt w:val="bullet"/>
      <w:lvlText w:val="o"/>
      <w:lvlJc w:val="left"/>
      <w:pPr>
        <w:tabs>
          <w:tab w:val="num" w:pos="3600"/>
        </w:tabs>
        <w:ind w:left="3600" w:hanging="360"/>
      </w:pPr>
      <w:rPr>
        <w:rFonts w:ascii="Courier New" w:hAnsi="Courier New" w:cs="Courier New" w:hint="default"/>
      </w:rPr>
    </w:lvl>
    <w:lvl w:ilvl="5" w:tplc="041D0005">
      <w:start w:val="1"/>
      <w:numFmt w:val="bullet"/>
      <w:lvlText w:val=""/>
      <w:lvlJc w:val="left"/>
      <w:pPr>
        <w:tabs>
          <w:tab w:val="num" w:pos="4320"/>
        </w:tabs>
        <w:ind w:left="4320" w:hanging="360"/>
      </w:pPr>
      <w:rPr>
        <w:rFonts w:ascii="Wingdings" w:hAnsi="Wingdings" w:hint="default"/>
      </w:rPr>
    </w:lvl>
    <w:lvl w:ilvl="6" w:tplc="041D0001">
      <w:start w:val="1"/>
      <w:numFmt w:val="bullet"/>
      <w:lvlText w:val=""/>
      <w:lvlJc w:val="left"/>
      <w:pPr>
        <w:tabs>
          <w:tab w:val="num" w:pos="5040"/>
        </w:tabs>
        <w:ind w:left="5040" w:hanging="360"/>
      </w:pPr>
      <w:rPr>
        <w:rFonts w:ascii="Symbol" w:hAnsi="Symbol" w:hint="default"/>
      </w:rPr>
    </w:lvl>
    <w:lvl w:ilvl="7" w:tplc="041D0003">
      <w:start w:val="1"/>
      <w:numFmt w:val="bullet"/>
      <w:lvlText w:val="o"/>
      <w:lvlJc w:val="left"/>
      <w:pPr>
        <w:tabs>
          <w:tab w:val="num" w:pos="5760"/>
        </w:tabs>
        <w:ind w:left="5760" w:hanging="360"/>
      </w:pPr>
      <w:rPr>
        <w:rFonts w:ascii="Courier New" w:hAnsi="Courier New" w:cs="Courier New" w:hint="default"/>
      </w:rPr>
    </w:lvl>
    <w:lvl w:ilvl="8" w:tplc="041D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FF0950"/>
    <w:multiLevelType w:val="hybridMultilevel"/>
    <w:tmpl w:val="22683750"/>
    <w:lvl w:ilvl="0" w:tplc="FE28CB26">
      <w:start w:val="1"/>
      <w:numFmt w:val="decimal"/>
      <w:lvlText w:val="%1."/>
      <w:lvlJc w:val="left"/>
      <w:pPr>
        <w:ind w:left="1494" w:hanging="360"/>
      </w:pPr>
      <w:rPr>
        <w:rFonts w:hint="default"/>
      </w:rPr>
    </w:lvl>
    <w:lvl w:ilvl="1" w:tplc="041D0019" w:tentative="1">
      <w:start w:val="1"/>
      <w:numFmt w:val="lowerLetter"/>
      <w:lvlText w:val="%2."/>
      <w:lvlJc w:val="left"/>
      <w:pPr>
        <w:ind w:left="2214" w:hanging="360"/>
      </w:pPr>
    </w:lvl>
    <w:lvl w:ilvl="2" w:tplc="041D001B" w:tentative="1">
      <w:start w:val="1"/>
      <w:numFmt w:val="lowerRoman"/>
      <w:lvlText w:val="%3."/>
      <w:lvlJc w:val="right"/>
      <w:pPr>
        <w:ind w:left="2934" w:hanging="180"/>
      </w:pPr>
    </w:lvl>
    <w:lvl w:ilvl="3" w:tplc="041D000F" w:tentative="1">
      <w:start w:val="1"/>
      <w:numFmt w:val="decimal"/>
      <w:lvlText w:val="%4."/>
      <w:lvlJc w:val="left"/>
      <w:pPr>
        <w:ind w:left="3654" w:hanging="360"/>
      </w:pPr>
    </w:lvl>
    <w:lvl w:ilvl="4" w:tplc="041D0019" w:tentative="1">
      <w:start w:val="1"/>
      <w:numFmt w:val="lowerLetter"/>
      <w:lvlText w:val="%5."/>
      <w:lvlJc w:val="left"/>
      <w:pPr>
        <w:ind w:left="4374" w:hanging="360"/>
      </w:pPr>
    </w:lvl>
    <w:lvl w:ilvl="5" w:tplc="041D001B" w:tentative="1">
      <w:start w:val="1"/>
      <w:numFmt w:val="lowerRoman"/>
      <w:lvlText w:val="%6."/>
      <w:lvlJc w:val="right"/>
      <w:pPr>
        <w:ind w:left="5094" w:hanging="180"/>
      </w:pPr>
    </w:lvl>
    <w:lvl w:ilvl="6" w:tplc="041D000F" w:tentative="1">
      <w:start w:val="1"/>
      <w:numFmt w:val="decimal"/>
      <w:lvlText w:val="%7."/>
      <w:lvlJc w:val="left"/>
      <w:pPr>
        <w:ind w:left="5814" w:hanging="360"/>
      </w:pPr>
    </w:lvl>
    <w:lvl w:ilvl="7" w:tplc="041D0019" w:tentative="1">
      <w:start w:val="1"/>
      <w:numFmt w:val="lowerLetter"/>
      <w:lvlText w:val="%8."/>
      <w:lvlJc w:val="left"/>
      <w:pPr>
        <w:ind w:left="6534" w:hanging="360"/>
      </w:pPr>
    </w:lvl>
    <w:lvl w:ilvl="8" w:tplc="041D001B" w:tentative="1">
      <w:start w:val="1"/>
      <w:numFmt w:val="lowerRoman"/>
      <w:lvlText w:val="%9."/>
      <w:lvlJc w:val="right"/>
      <w:pPr>
        <w:ind w:left="7254" w:hanging="180"/>
      </w:pPr>
    </w:lvl>
  </w:abstractNum>
  <w:abstractNum w:abstractNumId="22" w15:restartNumberingAfterBreak="0">
    <w:nsid w:val="6D772F59"/>
    <w:multiLevelType w:val="hybridMultilevel"/>
    <w:tmpl w:val="5400D4A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932481D"/>
    <w:multiLevelType w:val="hybridMultilevel"/>
    <w:tmpl w:val="8CA404A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4" w15:restartNumberingAfterBreak="0">
    <w:nsid w:val="7A2072B5"/>
    <w:multiLevelType w:val="hybridMultilevel"/>
    <w:tmpl w:val="958A6B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num w:numId="1">
    <w:abstractNumId w:val="24"/>
  </w:num>
  <w:num w:numId="2">
    <w:abstractNumId w:val="15"/>
  </w:num>
  <w:num w:numId="3">
    <w:abstractNumId w:val="0"/>
  </w:num>
  <w:num w:numId="4">
    <w:abstractNumId w:val="7"/>
  </w:num>
  <w:num w:numId="5">
    <w:abstractNumId w:val="22"/>
  </w:num>
  <w:num w:numId="6">
    <w:abstractNumId w:val="19"/>
  </w:num>
  <w:num w:numId="7">
    <w:abstractNumId w:val="6"/>
  </w:num>
  <w:num w:numId="8">
    <w:abstractNumId w:val="23"/>
  </w:num>
  <w:num w:numId="9">
    <w:abstractNumId w:val="21"/>
  </w:num>
  <w:num w:numId="10">
    <w:abstractNumId w:val="8"/>
  </w:num>
  <w:num w:numId="11">
    <w:abstractNumId w:val="13"/>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0"/>
  </w:num>
  <w:num w:numId="16">
    <w:abstractNumId w:val="14"/>
  </w:num>
  <w:num w:numId="17">
    <w:abstractNumId w:val="11"/>
  </w:num>
  <w:num w:numId="18">
    <w:abstractNumId w:val="5"/>
  </w:num>
  <w:num w:numId="19">
    <w:abstractNumId w:val="10"/>
  </w:num>
  <w:num w:numId="20">
    <w:abstractNumId w:val="12"/>
  </w:num>
  <w:num w:numId="21">
    <w:abstractNumId w:val="4"/>
  </w:num>
  <w:num w:numId="22">
    <w:abstractNumId w:val="9"/>
  </w:num>
  <w:num w:numId="23">
    <w:abstractNumId w:val="2"/>
  </w:num>
  <w:num w:numId="24">
    <w:abstractNumId w:val="1"/>
  </w:num>
  <w:num w:numId="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E8B"/>
    <w:rsid w:val="000067EB"/>
    <w:rsid w:val="0007595B"/>
    <w:rsid w:val="000B6F6F"/>
    <w:rsid w:val="000C68BA"/>
    <w:rsid w:val="000C6B6F"/>
    <w:rsid w:val="000F2B85"/>
    <w:rsid w:val="0011061F"/>
    <w:rsid w:val="0011381D"/>
    <w:rsid w:val="00142FEF"/>
    <w:rsid w:val="00167B97"/>
    <w:rsid w:val="00173F0C"/>
    <w:rsid w:val="001C2218"/>
    <w:rsid w:val="001D645F"/>
    <w:rsid w:val="00241F59"/>
    <w:rsid w:val="00257F49"/>
    <w:rsid w:val="00276F79"/>
    <w:rsid w:val="002D09F7"/>
    <w:rsid w:val="003164EC"/>
    <w:rsid w:val="00323048"/>
    <w:rsid w:val="00332A7F"/>
    <w:rsid w:val="003462D9"/>
    <w:rsid w:val="00350FEF"/>
    <w:rsid w:val="00367F49"/>
    <w:rsid w:val="00372CB4"/>
    <w:rsid w:val="003B46E1"/>
    <w:rsid w:val="003E7869"/>
    <w:rsid w:val="00414E79"/>
    <w:rsid w:val="00440D30"/>
    <w:rsid w:val="00473C11"/>
    <w:rsid w:val="004A5252"/>
    <w:rsid w:val="004B287C"/>
    <w:rsid w:val="004C0571"/>
    <w:rsid w:val="004C78B0"/>
    <w:rsid w:val="00521790"/>
    <w:rsid w:val="00536159"/>
    <w:rsid w:val="005729A0"/>
    <w:rsid w:val="00584B6A"/>
    <w:rsid w:val="00597ACB"/>
    <w:rsid w:val="005E6622"/>
    <w:rsid w:val="005F5390"/>
    <w:rsid w:val="00607F19"/>
    <w:rsid w:val="00613965"/>
    <w:rsid w:val="0062068E"/>
    <w:rsid w:val="00623D4E"/>
    <w:rsid w:val="00631C23"/>
    <w:rsid w:val="006772D2"/>
    <w:rsid w:val="006871DA"/>
    <w:rsid w:val="00690A7F"/>
    <w:rsid w:val="006E3041"/>
    <w:rsid w:val="00720B05"/>
    <w:rsid w:val="00742AE2"/>
    <w:rsid w:val="00751056"/>
    <w:rsid w:val="007517BE"/>
    <w:rsid w:val="00752CBB"/>
    <w:rsid w:val="00766929"/>
    <w:rsid w:val="00770200"/>
    <w:rsid w:val="007A0E1C"/>
    <w:rsid w:val="007A7F8D"/>
    <w:rsid w:val="007C260D"/>
    <w:rsid w:val="00831E91"/>
    <w:rsid w:val="00841303"/>
    <w:rsid w:val="00842541"/>
    <w:rsid w:val="0087328B"/>
    <w:rsid w:val="008760F6"/>
    <w:rsid w:val="008E56C2"/>
    <w:rsid w:val="009433F3"/>
    <w:rsid w:val="009624D4"/>
    <w:rsid w:val="00985ACB"/>
    <w:rsid w:val="00986A1D"/>
    <w:rsid w:val="009928A6"/>
    <w:rsid w:val="009B4E2A"/>
    <w:rsid w:val="009D4D5C"/>
    <w:rsid w:val="00A074B5"/>
    <w:rsid w:val="00A345C1"/>
    <w:rsid w:val="00A3668C"/>
    <w:rsid w:val="00A47AD9"/>
    <w:rsid w:val="00A8112E"/>
    <w:rsid w:val="00A84F0C"/>
    <w:rsid w:val="00AA0284"/>
    <w:rsid w:val="00AE5147"/>
    <w:rsid w:val="00AE5F41"/>
    <w:rsid w:val="00AF5926"/>
    <w:rsid w:val="00B10E8B"/>
    <w:rsid w:val="00B456FF"/>
    <w:rsid w:val="00B630A6"/>
    <w:rsid w:val="00B63E0E"/>
    <w:rsid w:val="00BA1320"/>
    <w:rsid w:val="00BB185F"/>
    <w:rsid w:val="00BD0663"/>
    <w:rsid w:val="00BF1EC3"/>
    <w:rsid w:val="00BF282B"/>
    <w:rsid w:val="00C0363D"/>
    <w:rsid w:val="00C10045"/>
    <w:rsid w:val="00C46521"/>
    <w:rsid w:val="00C800CF"/>
    <w:rsid w:val="00C85A21"/>
    <w:rsid w:val="00CD65E8"/>
    <w:rsid w:val="00CF74E5"/>
    <w:rsid w:val="00D21D96"/>
    <w:rsid w:val="00D22966"/>
    <w:rsid w:val="00D30C1A"/>
    <w:rsid w:val="00D37D57"/>
    <w:rsid w:val="00D731D2"/>
    <w:rsid w:val="00D82B0E"/>
    <w:rsid w:val="00DA76F6"/>
    <w:rsid w:val="00DC59E4"/>
    <w:rsid w:val="00DC5A8E"/>
    <w:rsid w:val="00DC6E79"/>
    <w:rsid w:val="00DF152D"/>
    <w:rsid w:val="00E11731"/>
    <w:rsid w:val="00E61A1C"/>
    <w:rsid w:val="00E84DE8"/>
    <w:rsid w:val="00EE2AA2"/>
    <w:rsid w:val="00EF388D"/>
    <w:rsid w:val="00F4117C"/>
    <w:rsid w:val="00F5293C"/>
    <w:rsid w:val="00F57801"/>
    <w:rsid w:val="00F66187"/>
    <w:rsid w:val="00FA0781"/>
    <w:rsid w:val="00FA0935"/>
    <w:rsid w:val="00FB3384"/>
    <w:rsid w:val="00FD5689"/>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367BD33"/>
  <w15:docId w15:val="{4E0088D1-CE07-4E57-BE2C-3A8C9DB35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E8B"/>
    <w:pPr>
      <w:spacing w:after="200" w:line="276" w:lineRule="auto"/>
    </w:pPr>
    <w:rPr>
      <w:rFonts w:eastAsiaTheme="minorHAnsi" w:cstheme="minorHAnsi"/>
      <w:sz w:val="22"/>
      <w:szCs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A8112E"/>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rPr>
        <w:tblHeader/>
      </w:trPr>
      <w:tcPr>
        <w:shd w:val="clear" w:color="auto" w:fill="E7E6E6" w:themeFill="background2"/>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173F0C"/>
    <w:pPr>
      <w:pBdr>
        <w:top w:val="single" w:sz="4" w:space="6" w:color="F2B700" w:themeColor="accent6"/>
        <w:left w:val="single" w:sz="4" w:space="6" w:color="F2B700" w:themeColor="accent6"/>
        <w:bottom w:val="single" w:sz="4" w:space="6" w:color="F2B700" w:themeColor="accent6"/>
        <w:right w:val="single" w:sz="4" w:space="6" w:color="F2B700" w:themeColor="accent6"/>
      </w:pBdr>
      <w:shd w:val="clear" w:color="auto" w:fill="FFE493" w:themeFill="accent6" w:themeFillTint="66"/>
      <w:spacing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Rubrik1-svart">
    <w:name w:val="Rubrik 1 - svart"/>
    <w:basedOn w:val="Normal"/>
    <w:link w:val="Rubrik1-svartChar"/>
    <w:qFormat/>
    <w:rsid w:val="00B10E8B"/>
    <w:pPr>
      <w:widowControl w:val="0"/>
      <w:autoSpaceDE w:val="0"/>
      <w:autoSpaceDN w:val="0"/>
      <w:adjustRightInd w:val="0"/>
      <w:spacing w:after="0" w:line="240" w:lineRule="auto"/>
      <w:textAlignment w:val="center"/>
    </w:pPr>
    <w:rPr>
      <w:rFonts w:ascii="Arial" w:eastAsiaTheme="minorEastAsia" w:hAnsi="Arial" w:cs="Arial"/>
      <w:b/>
      <w:bCs/>
      <w:color w:val="000000" w:themeColor="text1"/>
      <w:spacing w:val="15"/>
      <w:sz w:val="146"/>
      <w:szCs w:val="146"/>
      <w:lang w:eastAsia="sv-SE"/>
    </w:rPr>
  </w:style>
  <w:style w:type="character" w:customStyle="1" w:styleId="Rubrik1-svartChar">
    <w:name w:val="Rubrik 1 - svart Char"/>
    <w:basedOn w:val="Standardstycketeckensnitt"/>
    <w:link w:val="Rubrik1-svart"/>
    <w:rsid w:val="00B10E8B"/>
    <w:rPr>
      <w:rFonts w:ascii="Arial" w:hAnsi="Arial" w:cs="Arial"/>
      <w:b/>
      <w:bCs/>
      <w:color w:val="000000" w:themeColor="text1"/>
      <w:spacing w:val="15"/>
      <w:sz w:val="146"/>
      <w:szCs w:val="146"/>
      <w:lang w:eastAsia="sv-SE"/>
    </w:rPr>
  </w:style>
  <w:style w:type="paragraph" w:styleId="Liststycke">
    <w:name w:val="List Paragraph"/>
    <w:basedOn w:val="Normal"/>
    <w:uiPriority w:val="34"/>
    <w:qFormat/>
    <w:rsid w:val="00B10E8B"/>
    <w:pPr>
      <w:ind w:left="720"/>
      <w:contextualSpacing/>
    </w:pPr>
    <w:rPr>
      <w:rFonts w:cstheme="minorBidi"/>
    </w:rPr>
  </w:style>
  <w:style w:type="paragraph" w:customStyle="1" w:styleId="verskrift">
    <w:name w:val="Överskrift"/>
    <w:basedOn w:val="Normal"/>
    <w:rsid w:val="00841303"/>
    <w:rPr>
      <w:rFonts w:ascii="Times New Roman" w:eastAsia="Calibri" w:hAnsi="Times New Roman" w:cs="Times New Roman"/>
      <w:bCs/>
      <w:kern w:val="32"/>
      <w:sz w:val="48"/>
      <w:szCs w:val="48"/>
    </w:rPr>
  </w:style>
  <w:style w:type="character" w:styleId="Kommentarsreferens">
    <w:name w:val="annotation reference"/>
    <w:basedOn w:val="Standardstycketeckensnitt"/>
    <w:uiPriority w:val="99"/>
    <w:semiHidden/>
    <w:unhideWhenUsed/>
    <w:rsid w:val="00BB185F"/>
    <w:rPr>
      <w:sz w:val="16"/>
      <w:szCs w:val="16"/>
    </w:rPr>
  </w:style>
  <w:style w:type="paragraph" w:styleId="Kommentarer">
    <w:name w:val="annotation text"/>
    <w:basedOn w:val="Normal"/>
    <w:link w:val="KommentarerChar"/>
    <w:uiPriority w:val="99"/>
    <w:semiHidden/>
    <w:unhideWhenUsed/>
    <w:rsid w:val="00BB185F"/>
    <w:pPr>
      <w:spacing w:line="240" w:lineRule="auto"/>
    </w:pPr>
    <w:rPr>
      <w:sz w:val="20"/>
      <w:szCs w:val="20"/>
    </w:rPr>
  </w:style>
  <w:style w:type="character" w:customStyle="1" w:styleId="KommentarerChar">
    <w:name w:val="Kommentarer Char"/>
    <w:basedOn w:val="Standardstycketeckensnitt"/>
    <w:link w:val="Kommentarer"/>
    <w:uiPriority w:val="99"/>
    <w:semiHidden/>
    <w:rsid w:val="00BB185F"/>
    <w:rPr>
      <w:rFonts w:eastAsiaTheme="minorHAnsi" w:cstheme="minorHAnsi"/>
      <w:sz w:val="20"/>
      <w:szCs w:val="20"/>
    </w:rPr>
  </w:style>
  <w:style w:type="paragraph" w:styleId="Kommentarsmne">
    <w:name w:val="annotation subject"/>
    <w:basedOn w:val="Kommentarer"/>
    <w:next w:val="Kommentarer"/>
    <w:link w:val="KommentarsmneChar"/>
    <w:uiPriority w:val="99"/>
    <w:semiHidden/>
    <w:unhideWhenUsed/>
    <w:rsid w:val="00BB185F"/>
    <w:rPr>
      <w:b/>
      <w:bCs/>
    </w:rPr>
  </w:style>
  <w:style w:type="character" w:customStyle="1" w:styleId="KommentarsmneChar">
    <w:name w:val="Kommentarsämne Char"/>
    <w:basedOn w:val="KommentarerChar"/>
    <w:link w:val="Kommentarsmne"/>
    <w:uiPriority w:val="99"/>
    <w:semiHidden/>
    <w:rsid w:val="00BB185F"/>
    <w:rPr>
      <w:rFonts w:eastAsiaTheme="minorHAnsi" w:cstheme="minorHAnsi"/>
      <w:b/>
      <w:bCs/>
      <w:sz w:val="20"/>
      <w:szCs w:val="20"/>
    </w:rPr>
  </w:style>
  <w:style w:type="paragraph" w:customStyle="1" w:styleId="Default">
    <w:name w:val="Default"/>
    <w:rsid w:val="00A84F0C"/>
    <w:pPr>
      <w:autoSpaceDE w:val="0"/>
      <w:autoSpaceDN w:val="0"/>
      <w:adjustRightInd w:val="0"/>
      <w:spacing w:after="0"/>
    </w:pPr>
    <w:rPr>
      <w:rFonts w:ascii="Times New Roman" w:eastAsiaTheme="minorHAnsi" w:hAnsi="Times New Roman" w:cs="Times New Roman"/>
      <w:color w:val="000000"/>
    </w:rPr>
  </w:style>
  <w:style w:type="paragraph" w:styleId="Normalwebb">
    <w:name w:val="Normal (Web)"/>
    <w:basedOn w:val="Normal"/>
    <w:uiPriority w:val="99"/>
    <w:unhideWhenUsed/>
    <w:rsid w:val="00A84F0C"/>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BrdtextChar">
    <w:name w:val="Brödtext Char"/>
    <w:aliases w:val="Body Text x Char"/>
    <w:basedOn w:val="Standardstycketeckensnitt"/>
    <w:link w:val="Brdtext"/>
    <w:semiHidden/>
    <w:locked/>
    <w:rsid w:val="00276F79"/>
    <w:rPr>
      <w:rFonts w:ascii="Times New Roman" w:eastAsia="Times New Roman" w:hAnsi="Times New Roman" w:cs="Times New Roman"/>
      <w:szCs w:val="20"/>
    </w:rPr>
  </w:style>
  <w:style w:type="paragraph" w:styleId="Brdtext">
    <w:name w:val="Body Text"/>
    <w:aliases w:val="Body Text x"/>
    <w:basedOn w:val="Normal"/>
    <w:link w:val="BrdtextChar"/>
    <w:semiHidden/>
    <w:unhideWhenUsed/>
    <w:rsid w:val="00276F79"/>
    <w:pPr>
      <w:tabs>
        <w:tab w:val="left" w:pos="1123"/>
        <w:tab w:val="right" w:pos="2841"/>
        <w:tab w:val="right" w:pos="4343"/>
        <w:tab w:val="right" w:pos="5840"/>
        <w:tab w:val="right" w:pos="7343"/>
        <w:tab w:val="right" w:pos="8505"/>
      </w:tabs>
      <w:overflowPunct w:val="0"/>
      <w:autoSpaceDE w:val="0"/>
      <w:autoSpaceDN w:val="0"/>
      <w:adjustRightInd w:val="0"/>
      <w:spacing w:after="260" w:line="240" w:lineRule="auto"/>
      <w:jc w:val="both"/>
    </w:pPr>
    <w:rPr>
      <w:rFonts w:ascii="Times New Roman" w:eastAsia="Times New Roman" w:hAnsi="Times New Roman" w:cs="Times New Roman"/>
      <w:sz w:val="24"/>
      <w:szCs w:val="20"/>
    </w:rPr>
  </w:style>
  <w:style w:type="character" w:customStyle="1" w:styleId="BrdtextChar1">
    <w:name w:val="Brödtext Char1"/>
    <w:basedOn w:val="Standardstycketeckensnitt"/>
    <w:uiPriority w:val="99"/>
    <w:semiHidden/>
    <w:rsid w:val="00276F79"/>
    <w:rPr>
      <w:rFonts w:eastAsiaTheme="minorHAnsi" w:cstheme="minorHAnsi"/>
      <w:sz w:val="22"/>
      <w:szCs w:val="22"/>
    </w:rPr>
  </w:style>
  <w:style w:type="paragraph" w:customStyle="1" w:styleId="Rubrik11">
    <w:name w:val="Rubrik 11"/>
    <w:basedOn w:val="Normal"/>
    <w:rsid w:val="00276F79"/>
    <w:pPr>
      <w:numPr>
        <w:numId w:val="12"/>
      </w:numPr>
      <w:spacing w:after="0" w:line="240" w:lineRule="auto"/>
      <w:ind w:left="0" w:firstLine="0"/>
    </w:pPr>
    <w:rPr>
      <w:rFonts w:ascii="Calibri" w:hAnsi="Calibri" w:cs="Calibri"/>
    </w:rPr>
  </w:style>
  <w:style w:type="paragraph" w:customStyle="1" w:styleId="Rubrik21">
    <w:name w:val="Rubrik 21"/>
    <w:basedOn w:val="Normal"/>
    <w:rsid w:val="00276F79"/>
    <w:pPr>
      <w:numPr>
        <w:ilvl w:val="1"/>
        <w:numId w:val="12"/>
      </w:numPr>
      <w:spacing w:after="0" w:line="240" w:lineRule="auto"/>
      <w:ind w:left="0" w:firstLine="0"/>
    </w:pPr>
    <w:rPr>
      <w:rFonts w:ascii="Calibri" w:hAnsi="Calibri" w:cs="Calibri"/>
    </w:rPr>
  </w:style>
  <w:style w:type="paragraph" w:customStyle="1" w:styleId="Rubrik31">
    <w:name w:val="Rubrik 31"/>
    <w:basedOn w:val="Normal"/>
    <w:rsid w:val="00276F79"/>
    <w:pPr>
      <w:numPr>
        <w:ilvl w:val="2"/>
        <w:numId w:val="12"/>
      </w:numPr>
      <w:spacing w:after="0" w:line="240" w:lineRule="auto"/>
      <w:ind w:left="0" w:firstLine="0"/>
    </w:pPr>
    <w:rPr>
      <w:rFonts w:ascii="Calibri" w:hAnsi="Calibri" w:cs="Calibri"/>
    </w:rPr>
  </w:style>
  <w:style w:type="character" w:customStyle="1" w:styleId="Heading4Char">
    <w:name w:val="Heading 4 Char"/>
    <w:basedOn w:val="Standardstycketeckensnitt"/>
    <w:link w:val="Rubrik41"/>
    <w:locked/>
    <w:rsid w:val="00276F79"/>
    <w:rPr>
      <w:rFonts w:ascii="Calibri" w:eastAsiaTheme="minorHAnsi" w:hAnsi="Calibri" w:cs="Calibri"/>
      <w:sz w:val="22"/>
      <w:szCs w:val="22"/>
    </w:rPr>
  </w:style>
  <w:style w:type="paragraph" w:customStyle="1" w:styleId="Rubrik41">
    <w:name w:val="Rubrik 41"/>
    <w:basedOn w:val="Normal"/>
    <w:link w:val="Heading4Char"/>
    <w:rsid w:val="00276F79"/>
    <w:pPr>
      <w:numPr>
        <w:ilvl w:val="3"/>
        <w:numId w:val="12"/>
      </w:numPr>
      <w:spacing w:after="0" w:line="240" w:lineRule="auto"/>
      <w:ind w:left="0" w:firstLine="0"/>
    </w:pPr>
    <w:rPr>
      <w:rFonts w:ascii="Calibri" w:hAnsi="Calibri" w:cs="Calibri"/>
    </w:rPr>
  </w:style>
  <w:style w:type="paragraph" w:customStyle="1" w:styleId="Rubrik51">
    <w:name w:val="Rubrik 51"/>
    <w:basedOn w:val="Normal"/>
    <w:rsid w:val="00276F79"/>
    <w:pPr>
      <w:numPr>
        <w:ilvl w:val="4"/>
        <w:numId w:val="12"/>
      </w:numPr>
      <w:spacing w:after="0" w:line="240" w:lineRule="auto"/>
      <w:ind w:left="0" w:firstLine="0"/>
    </w:pPr>
    <w:rPr>
      <w:rFonts w:ascii="Calibri" w:hAnsi="Calibri" w:cs="Calibri"/>
    </w:rPr>
  </w:style>
  <w:style w:type="paragraph" w:customStyle="1" w:styleId="Rubrik61">
    <w:name w:val="Rubrik 61"/>
    <w:basedOn w:val="Normal"/>
    <w:rsid w:val="00276F79"/>
    <w:pPr>
      <w:numPr>
        <w:ilvl w:val="5"/>
        <w:numId w:val="12"/>
      </w:numPr>
      <w:spacing w:after="0" w:line="240" w:lineRule="auto"/>
      <w:ind w:left="0" w:firstLine="0"/>
    </w:pPr>
    <w:rPr>
      <w:rFonts w:ascii="Calibri" w:hAnsi="Calibri" w:cs="Calibri"/>
    </w:rPr>
  </w:style>
  <w:style w:type="paragraph" w:customStyle="1" w:styleId="Rubrik71">
    <w:name w:val="Rubrik 71"/>
    <w:basedOn w:val="Normal"/>
    <w:rsid w:val="00276F79"/>
    <w:pPr>
      <w:numPr>
        <w:ilvl w:val="6"/>
        <w:numId w:val="12"/>
      </w:numPr>
      <w:spacing w:after="0" w:line="240" w:lineRule="auto"/>
      <w:ind w:left="0" w:firstLine="0"/>
    </w:pPr>
    <w:rPr>
      <w:rFonts w:ascii="Calibri" w:hAnsi="Calibri" w:cs="Calibri"/>
    </w:rPr>
  </w:style>
  <w:style w:type="paragraph" w:customStyle="1" w:styleId="Rubrik81">
    <w:name w:val="Rubrik 81"/>
    <w:basedOn w:val="Normal"/>
    <w:rsid w:val="00276F79"/>
    <w:pPr>
      <w:numPr>
        <w:ilvl w:val="7"/>
        <w:numId w:val="12"/>
      </w:numPr>
      <w:spacing w:after="0" w:line="240" w:lineRule="auto"/>
      <w:ind w:left="0" w:firstLine="0"/>
    </w:pPr>
    <w:rPr>
      <w:rFonts w:ascii="Calibri" w:hAnsi="Calibri" w:cs="Calibri"/>
    </w:rPr>
  </w:style>
  <w:style w:type="paragraph" w:customStyle="1" w:styleId="Rubrik91">
    <w:name w:val="Rubrik 91"/>
    <w:basedOn w:val="Normal"/>
    <w:rsid w:val="00276F79"/>
    <w:pPr>
      <w:numPr>
        <w:ilvl w:val="8"/>
        <w:numId w:val="12"/>
      </w:numPr>
      <w:spacing w:after="0" w:line="240" w:lineRule="auto"/>
      <w:ind w:left="0" w:firstLine="0"/>
    </w:pPr>
    <w:rPr>
      <w:rFonts w:ascii="Calibri" w:hAnsi="Calibri" w:cs="Calibri"/>
    </w:rPr>
  </w:style>
  <w:style w:type="character" w:styleId="Fotnotsreferens">
    <w:name w:val="footnote reference"/>
    <w:rsid w:val="00AF5926"/>
    <w:rPr>
      <w:vertAlign w:val="superscript"/>
    </w:rPr>
  </w:style>
  <w:style w:type="paragraph" w:styleId="Normaltindrag">
    <w:name w:val="Normal Indent"/>
    <w:basedOn w:val="Normal"/>
    <w:link w:val="NormaltindragChar"/>
    <w:rsid w:val="00AF5926"/>
    <w:pPr>
      <w:spacing w:after="240" w:line="240" w:lineRule="auto"/>
      <w:ind w:left="709" w:right="1134"/>
    </w:pPr>
    <w:rPr>
      <w:rFonts w:ascii="Times New Roman" w:eastAsia="Times New Roman" w:hAnsi="Times New Roman" w:cs="Times New Roman"/>
      <w:sz w:val="24"/>
      <w:szCs w:val="20"/>
    </w:rPr>
  </w:style>
  <w:style w:type="character" w:customStyle="1" w:styleId="NormaltindragChar">
    <w:name w:val="Normalt indrag Char"/>
    <w:link w:val="Normaltindrag"/>
    <w:rsid w:val="00AF5926"/>
    <w:rPr>
      <w:rFonts w:ascii="Times New Roman" w:eastAsia="Times New Roman" w:hAnsi="Times New Roman" w:cs="Times New Roman"/>
      <w:szCs w:val="20"/>
    </w:rPr>
  </w:style>
  <w:style w:type="table" w:styleId="Standardtabell1">
    <w:name w:val="Table Classic 1"/>
    <w:basedOn w:val="Normaltabell"/>
    <w:rsid w:val="00AF5926"/>
    <w:pPr>
      <w:spacing w:after="0"/>
    </w:pPr>
    <w:rPr>
      <w:rFonts w:ascii="Arial Narrow" w:eastAsia="Times New Roman" w:hAnsi="Arial Narrow" w:cs="Times New Roman"/>
      <w:sz w:val="20"/>
      <w:szCs w:val="20"/>
      <w:lang w:eastAsia="sv-SE"/>
    </w:rPr>
    <w:tblPr>
      <w:tblBorders>
        <w:top w:val="single" w:sz="12" w:space="0" w:color="000000"/>
        <w:bottom w:val="single" w:sz="12" w:space="0" w:color="000000"/>
      </w:tblBorders>
    </w:tblPr>
    <w:tcPr>
      <w:shd w:val="clear" w:color="auto" w:fill="auto"/>
    </w:tcPr>
    <w:tblStylePr w:type="firstRow">
      <w:rPr>
        <w:b/>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3487882">
      <w:bodyDiv w:val="1"/>
      <w:marLeft w:val="0"/>
      <w:marRight w:val="0"/>
      <w:marTop w:val="0"/>
      <w:marBottom w:val="0"/>
      <w:divBdr>
        <w:top w:val="none" w:sz="0" w:space="0" w:color="auto"/>
        <w:left w:val="none" w:sz="0" w:space="0" w:color="auto"/>
        <w:bottom w:val="none" w:sz="0" w:space="0" w:color="auto"/>
        <w:right w:val="none" w:sz="0" w:space="0" w:color="auto"/>
      </w:divBdr>
    </w:div>
    <w:div w:id="143543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kaj0316\AppData\Local\Packages\Microsoft.MicrosoftEdge_8wekyb3d8bbwe\TempState\Downloads\Dokumentmall+G&#246;ta+Lejon.dotx" TargetMode="External"/></Relationships>
</file>

<file path=word/theme/theme1.xml><?xml version="1.0" encoding="utf-8"?>
<a:theme xmlns:a="http://schemas.openxmlformats.org/drawingml/2006/main" name="Office-tema">
  <a:themeElements>
    <a:clrScheme name="Göteborgs Stad Office">
      <a:dk1>
        <a:sysClr val="windowText" lastClr="000000"/>
      </a:dk1>
      <a:lt1>
        <a:sysClr val="window" lastClr="FFFFFF"/>
      </a:lt1>
      <a:dk2>
        <a:srgbClr val="0077BC"/>
      </a:dk2>
      <a:lt2>
        <a:srgbClr val="E7E6E6"/>
      </a:lt2>
      <a:accent1>
        <a:srgbClr val="DE0069"/>
      </a:accent1>
      <a:accent2>
        <a:srgbClr val="52AA50"/>
      </a:accent2>
      <a:accent3>
        <a:srgbClr val="F18700"/>
      </a:accent3>
      <a:accent4>
        <a:srgbClr val="B45693"/>
      </a:accent4>
      <a:accent5>
        <a:srgbClr val="88CDD0"/>
      </a:accent5>
      <a:accent6>
        <a:srgbClr val="F2B700"/>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A8A03B-2759-4DCB-BDFA-0241CCFA3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Dokumentmall+Göta+Lejon.dotx</Template>
  <TotalTime>0</TotalTime>
  <Pages>9</Pages>
  <Words>1909</Words>
  <Characters>10120</Characters>
  <Application>Microsoft Office Word</Application>
  <DocSecurity>0</DocSecurity>
  <Lines>84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Rutin för hantering av e-post</vt:lpstr>
      <vt:lpstr>Rutin för hantering av e-post</vt:lpstr>
    </vt:vector>
  </TitlesOfParts>
  <Company>Försäkrings AB Göta Lejon</Company>
  <LinksUpToDate>false</LinksUpToDate>
  <CharactersWithSpaces>12005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Rutin för hantering av e-post</dc:title>
  <dc:subject/>
  <dc:creator>katkaj0316</dc:creator>
  <dc:description/>
  <cp:lastModifiedBy>Björn Wennerström</cp:lastModifiedBy>
  <cp:revision>8</cp:revision>
  <cp:lastPrinted>2019-05-06T13:36:00Z</cp:lastPrinted>
  <dcterms:created xsi:type="dcterms:W3CDTF">2019-10-07T12:44:00Z</dcterms:created>
  <dcterms:modified xsi:type="dcterms:W3CDTF">2019-10-21T10:47:00Z</dcterms:modified>
</cp:coreProperties>
</file>