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0B823" w14:textId="0BE85C7B" w:rsidR="007B7749" w:rsidRPr="001E57AC" w:rsidRDefault="007B7749" w:rsidP="007B7749">
      <w:pPr>
        <w:spacing w:before="240" w:after="60"/>
        <w:ind w:left="1134" w:right="594"/>
        <w:rPr>
          <w:rFonts w:asciiTheme="majorHAnsi" w:hAnsiTheme="majorHAnsi" w:cstheme="majorHAnsi"/>
          <w:b/>
          <w:sz w:val="40"/>
          <w:szCs w:val="40"/>
        </w:rPr>
      </w:pPr>
      <w:r w:rsidRPr="001E57AC">
        <w:rPr>
          <w:rFonts w:asciiTheme="majorHAnsi" w:hAnsiTheme="majorHAnsi" w:cstheme="majorHAnsi"/>
          <w:b/>
          <w:sz w:val="40"/>
          <w:szCs w:val="40"/>
        </w:rPr>
        <w:t>Riktlinje för hantering och rapportering av händelse av väsentlig betydelse</w:t>
      </w:r>
    </w:p>
    <w:p w14:paraId="494976C8" w14:textId="77777777" w:rsidR="007B7749" w:rsidRDefault="007B7749" w:rsidP="007B7749">
      <w:pPr>
        <w:pStyle w:val="Rubrik1"/>
        <w:keepLines w:val="0"/>
        <w:spacing w:before="240" w:after="60"/>
        <w:ind w:left="1494" w:right="594"/>
        <w:rPr>
          <w:rFonts w:ascii="Times New Roman" w:hAnsi="Times New Roman" w:cs="Times New Roman"/>
          <w:sz w:val="24"/>
          <w:szCs w:val="24"/>
        </w:rPr>
      </w:pPr>
    </w:p>
    <w:p w14:paraId="32A9BA18" w14:textId="1C74D62E" w:rsidR="007B7749" w:rsidRPr="001E57AC" w:rsidRDefault="007B7749" w:rsidP="007B7749">
      <w:pPr>
        <w:pStyle w:val="Rubrik1"/>
        <w:keepLines w:val="0"/>
        <w:numPr>
          <w:ilvl w:val="0"/>
          <w:numId w:val="7"/>
        </w:numPr>
        <w:spacing w:before="240" w:after="60"/>
        <w:ind w:right="594"/>
        <w:rPr>
          <w:rFonts w:cstheme="majorHAnsi"/>
          <w:sz w:val="24"/>
          <w:szCs w:val="24"/>
        </w:rPr>
      </w:pPr>
      <w:r w:rsidRPr="001E57AC">
        <w:rPr>
          <w:rFonts w:cstheme="majorHAnsi"/>
          <w:sz w:val="24"/>
          <w:szCs w:val="24"/>
        </w:rPr>
        <w:t>Om dokumentet</w:t>
      </w:r>
    </w:p>
    <w:p w14:paraId="3454EA09" w14:textId="77777777" w:rsidR="007B7749" w:rsidRPr="001E57AC" w:rsidRDefault="007B7749" w:rsidP="007B7749">
      <w:pPr>
        <w:rPr>
          <w:rFonts w:asciiTheme="majorHAnsi" w:hAnsiTheme="majorHAnsi" w:cstheme="majorHAnsi"/>
        </w:rPr>
      </w:pPr>
    </w:p>
    <w:p w14:paraId="38A32167" w14:textId="77777777" w:rsidR="007B7749" w:rsidRPr="001E57AC" w:rsidRDefault="007B7749" w:rsidP="007B7749">
      <w:pPr>
        <w:spacing w:after="0"/>
        <w:ind w:left="1134"/>
        <w:rPr>
          <w:rFonts w:asciiTheme="majorHAnsi" w:hAnsiTheme="majorHAnsi" w:cstheme="majorHAnsi"/>
          <w:b/>
        </w:rPr>
      </w:pPr>
      <w:r w:rsidRPr="001E57AC">
        <w:rPr>
          <w:rFonts w:asciiTheme="majorHAnsi" w:hAnsiTheme="majorHAnsi" w:cstheme="majorHAnsi"/>
          <w:b/>
        </w:rPr>
        <w:t>1.1 Bakgrund och syfte</w:t>
      </w:r>
    </w:p>
    <w:p w14:paraId="654546DB" w14:textId="5AD7AC6E" w:rsidR="007B7749" w:rsidRPr="009F70D8" w:rsidRDefault="007B7749" w:rsidP="001D32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F70D8">
        <w:rPr>
          <w:rFonts w:ascii="Times New Roman" w:hAnsi="Times New Roman"/>
          <w:sz w:val="24"/>
          <w:szCs w:val="24"/>
        </w:rPr>
        <w:t xml:space="preserve">Enligt </w:t>
      </w:r>
      <w:r w:rsidRPr="00556CFA">
        <w:rPr>
          <w:rFonts w:ascii="Times New Roman" w:hAnsi="Times New Roman"/>
          <w:sz w:val="24"/>
          <w:szCs w:val="24"/>
        </w:rPr>
        <w:t>Finansinspektionen</w:t>
      </w:r>
      <w:r>
        <w:rPr>
          <w:rFonts w:ascii="Times New Roman" w:hAnsi="Times New Roman"/>
          <w:sz w:val="24"/>
          <w:szCs w:val="24"/>
        </w:rPr>
        <w:t xml:space="preserve">s föreskrifter och allmänna råd </w:t>
      </w:r>
      <w:r w:rsidRPr="00556CFA">
        <w:rPr>
          <w:rFonts w:ascii="Times New Roman" w:hAnsi="Times New Roman"/>
          <w:sz w:val="24"/>
          <w:szCs w:val="24"/>
        </w:rPr>
        <w:t>om tillsynsrapportering för försäkringsrörelse</w:t>
      </w:r>
      <w:r w:rsidRPr="009F70D8">
        <w:rPr>
          <w:rFonts w:ascii="Times New Roman" w:hAnsi="Times New Roman"/>
          <w:sz w:val="24"/>
          <w:szCs w:val="24"/>
        </w:rPr>
        <w:t xml:space="preserve">, </w:t>
      </w:r>
      <w:r w:rsidRPr="00CB6A4F">
        <w:rPr>
          <w:rFonts w:ascii="Times New Roman" w:hAnsi="Times New Roman"/>
          <w:sz w:val="24"/>
          <w:szCs w:val="24"/>
        </w:rPr>
        <w:t>FFFS 2015:</w:t>
      </w:r>
      <w:bookmarkStart w:id="0" w:name="_Toc131253767"/>
      <w:r w:rsidRPr="00CB6A4F">
        <w:rPr>
          <w:rFonts w:ascii="Times New Roman" w:hAnsi="Times New Roman"/>
          <w:sz w:val="24"/>
          <w:szCs w:val="24"/>
        </w:rPr>
        <w:t xml:space="preserve">13 </w:t>
      </w:r>
      <w:r w:rsidR="001D32D6">
        <w:rPr>
          <w:rFonts w:ascii="Times New Roman" w:hAnsi="Times New Roman"/>
          <w:sz w:val="24"/>
          <w:szCs w:val="24"/>
        </w:rPr>
        <w:t xml:space="preserve">och </w:t>
      </w:r>
      <w:r w:rsidR="001D32D6" w:rsidRPr="001D32D6">
        <w:rPr>
          <w:rFonts w:eastAsiaTheme="minorEastAsia"/>
          <w:color w:val="FF0000"/>
        </w:rPr>
        <w:t xml:space="preserve">IKT enligt EIOPA- </w:t>
      </w:r>
      <w:proofErr w:type="spellStart"/>
      <w:r w:rsidR="001D32D6" w:rsidRPr="001D32D6">
        <w:rPr>
          <w:rFonts w:eastAsiaTheme="minorEastAsia"/>
          <w:color w:val="FF0000"/>
        </w:rPr>
        <w:t>BoS</w:t>
      </w:r>
      <w:proofErr w:type="spellEnd"/>
      <w:r w:rsidR="001D32D6" w:rsidRPr="001D32D6">
        <w:rPr>
          <w:rFonts w:eastAsiaTheme="minorEastAsia"/>
          <w:color w:val="FF0000"/>
        </w:rPr>
        <w:t xml:space="preserve">- 20/600 riktlinje 15 </w:t>
      </w:r>
      <w:r w:rsidRPr="009F70D8">
        <w:rPr>
          <w:rFonts w:ascii="Times New Roman" w:hAnsi="Times New Roman"/>
          <w:sz w:val="24"/>
          <w:szCs w:val="24"/>
        </w:rPr>
        <w:t xml:space="preserve">ska händelser rapporteras som kan äventyra företagets stabilitet eller skyddet av </w:t>
      </w:r>
      <w:r>
        <w:rPr>
          <w:rFonts w:ascii="Times New Roman" w:hAnsi="Times New Roman"/>
          <w:sz w:val="24"/>
          <w:szCs w:val="24"/>
        </w:rPr>
        <w:t>försäkringstagare</w:t>
      </w:r>
      <w:r w:rsidRPr="009F70D8">
        <w:rPr>
          <w:rFonts w:ascii="Times New Roman" w:hAnsi="Times New Roman"/>
          <w:sz w:val="24"/>
          <w:szCs w:val="24"/>
        </w:rPr>
        <w:t xml:space="preserve"> tillgångar. </w:t>
      </w:r>
    </w:p>
    <w:bookmarkEnd w:id="0"/>
    <w:p w14:paraId="2DBC229E" w14:textId="1F0B1258" w:rsidR="007B7749" w:rsidRDefault="007B7749" w:rsidP="001D32D6">
      <w:pPr>
        <w:ind w:right="594"/>
        <w:rPr>
          <w:rFonts w:ascii="Times New Roman" w:hAnsi="Times New Roman"/>
          <w:b/>
          <w:sz w:val="24"/>
          <w:szCs w:val="24"/>
        </w:rPr>
      </w:pPr>
      <w:r w:rsidRPr="009F70D8">
        <w:rPr>
          <w:rFonts w:ascii="Times New Roman" w:hAnsi="Times New Roman"/>
          <w:sz w:val="24"/>
          <w:szCs w:val="24"/>
        </w:rPr>
        <w:t xml:space="preserve">Med händelser av väsentlig betydelse avses sådana händelser som skall </w:t>
      </w:r>
      <w:r w:rsidR="001D32D6">
        <w:rPr>
          <w:rFonts w:ascii="Times New Roman" w:hAnsi="Times New Roman"/>
          <w:sz w:val="24"/>
          <w:szCs w:val="24"/>
        </w:rPr>
        <w:t>r</w:t>
      </w:r>
      <w:r w:rsidRPr="009F70D8">
        <w:rPr>
          <w:rFonts w:ascii="Times New Roman" w:hAnsi="Times New Roman"/>
          <w:sz w:val="24"/>
          <w:szCs w:val="24"/>
        </w:rPr>
        <w:t>apporteras till Finansinspektionen enligt nedan.</w:t>
      </w:r>
    </w:p>
    <w:p w14:paraId="2588BFD2" w14:textId="77777777" w:rsidR="007B7749" w:rsidRPr="001E57AC" w:rsidRDefault="007B7749" w:rsidP="001D32D6">
      <w:pPr>
        <w:spacing w:after="0"/>
        <w:ind w:left="1134" w:right="594" w:hanging="1134"/>
        <w:rPr>
          <w:rFonts w:asciiTheme="majorHAnsi" w:hAnsiTheme="majorHAnsi" w:cstheme="majorHAnsi"/>
          <w:b/>
          <w:sz w:val="24"/>
          <w:szCs w:val="24"/>
        </w:rPr>
      </w:pPr>
      <w:r w:rsidRPr="001E57AC">
        <w:rPr>
          <w:rFonts w:asciiTheme="majorHAnsi" w:hAnsiTheme="majorHAnsi" w:cstheme="majorHAnsi"/>
          <w:b/>
          <w:sz w:val="24"/>
          <w:szCs w:val="24"/>
        </w:rPr>
        <w:t>1.2 Omfattning och avgränsningar</w:t>
      </w:r>
    </w:p>
    <w:p w14:paraId="0A33AC84" w14:textId="77777777" w:rsidR="007B7749" w:rsidRPr="00CB6A4F" w:rsidRDefault="007B7749" w:rsidP="001D32D6">
      <w:pPr>
        <w:ind w:left="1134" w:right="594" w:hanging="1134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Företaget</w:t>
      </w:r>
      <w:r w:rsidRPr="00DC2C7B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ska så snart som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möjligt lämna upplysningar till </w:t>
      </w:r>
      <w:r w:rsidRPr="00DC2C7B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Finansinspektionen när sådana händelser inträffar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som medför, eller kan </w:t>
      </w:r>
      <w:r w:rsidRPr="00CB6A4F">
        <w:rPr>
          <w:rFonts w:ascii="Times New Roman" w:eastAsia="Times New Roman" w:hAnsi="Times New Roman" w:cs="Times New Roman"/>
          <w:sz w:val="24"/>
          <w:szCs w:val="24"/>
          <w:lang w:eastAsia="sv-SE"/>
        </w:rPr>
        <w:t>komma att medföra, att</w:t>
      </w:r>
    </w:p>
    <w:p w14:paraId="7B6DF387" w14:textId="77777777" w:rsidR="007B7749" w:rsidRPr="00CB6A4F" w:rsidRDefault="007B7749" w:rsidP="001D32D6">
      <w:pPr>
        <w:ind w:left="1134" w:right="594" w:hanging="1134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B6A4F">
        <w:rPr>
          <w:rFonts w:ascii="Times New Roman" w:eastAsia="Times New Roman" w:hAnsi="Times New Roman" w:cs="Times New Roman"/>
          <w:sz w:val="24"/>
          <w:szCs w:val="24"/>
          <w:lang w:eastAsia="sv-SE"/>
        </w:rPr>
        <w:t>1. företagets stabilitet äventyras,</w:t>
      </w:r>
    </w:p>
    <w:p w14:paraId="44248F5C" w14:textId="77777777" w:rsidR="007B7749" w:rsidRPr="00CB6A4F" w:rsidRDefault="007B7749" w:rsidP="001D32D6">
      <w:pPr>
        <w:ind w:left="1134" w:right="594" w:hanging="1134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B6A4F">
        <w:rPr>
          <w:rFonts w:ascii="Times New Roman" w:eastAsia="Times New Roman" w:hAnsi="Times New Roman" w:cs="Times New Roman"/>
          <w:sz w:val="24"/>
          <w:szCs w:val="24"/>
          <w:lang w:eastAsia="sv-SE"/>
        </w:rPr>
        <w:t>2. företagets förmåga att uppfylla sina åtaganden mot försäkringstagare och andra ersättningsberättigade äventyras,</w:t>
      </w:r>
    </w:p>
    <w:p w14:paraId="499C8613" w14:textId="77777777" w:rsidR="007B7749" w:rsidRPr="00CB6A4F" w:rsidRDefault="007B7749" w:rsidP="001D32D6">
      <w:pPr>
        <w:ind w:left="1134" w:right="594" w:hanging="1134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B6A4F">
        <w:rPr>
          <w:rFonts w:ascii="Times New Roman" w:eastAsia="Times New Roman" w:hAnsi="Times New Roman" w:cs="Times New Roman"/>
          <w:sz w:val="24"/>
          <w:szCs w:val="24"/>
          <w:lang w:eastAsia="sv-SE"/>
        </w:rPr>
        <w:t>3. ett större antal försäkringstagare eller andra ersättningsberättigade orsakas betydande ekonomisk skada,</w:t>
      </w:r>
    </w:p>
    <w:p w14:paraId="14D075F3" w14:textId="77777777" w:rsidR="007B7749" w:rsidRPr="00CB6A4F" w:rsidRDefault="007B7749" w:rsidP="001D32D6">
      <w:pPr>
        <w:ind w:left="1134" w:right="594" w:hanging="1134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B6A4F">
        <w:rPr>
          <w:rFonts w:ascii="Times New Roman" w:eastAsia="Times New Roman" w:hAnsi="Times New Roman" w:cs="Times New Roman"/>
          <w:sz w:val="24"/>
          <w:szCs w:val="24"/>
          <w:lang w:eastAsia="sv-SE"/>
        </w:rPr>
        <w:t>4. ett större antal försäkringstagare eller andra ersättningsberättigade får felaktig information av betydelse från företaget,</w:t>
      </w:r>
    </w:p>
    <w:p w14:paraId="1C49A619" w14:textId="77777777" w:rsidR="007B7749" w:rsidRPr="00CB6A4F" w:rsidRDefault="007B7749" w:rsidP="001D32D6">
      <w:pPr>
        <w:ind w:left="1134" w:right="594" w:hanging="1134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B6A4F">
        <w:rPr>
          <w:rFonts w:ascii="Times New Roman" w:eastAsia="Times New Roman" w:hAnsi="Times New Roman" w:cs="Times New Roman"/>
          <w:sz w:val="24"/>
          <w:szCs w:val="24"/>
          <w:lang w:eastAsia="sv-SE"/>
        </w:rPr>
        <w:t>5. företaget utsätts för en väsentlig ryktesrisk, eller</w:t>
      </w:r>
    </w:p>
    <w:p w14:paraId="5075D71C" w14:textId="1EFEDD0B" w:rsidR="007B7749" w:rsidRDefault="007B7749" w:rsidP="001D32D6">
      <w:pPr>
        <w:pStyle w:val="Liststycke"/>
        <w:ind w:left="1134" w:right="594" w:hanging="1134"/>
      </w:pPr>
      <w:r w:rsidRPr="00CB6A4F">
        <w:t>6. företaget drabbas av allvarlig brottslighet.</w:t>
      </w:r>
    </w:p>
    <w:p w14:paraId="3272A3BF" w14:textId="7300AB6D" w:rsidR="001D32D6" w:rsidRDefault="001D32D6" w:rsidP="001D32D6">
      <w:pPr>
        <w:pStyle w:val="Liststycke"/>
        <w:ind w:left="1134" w:right="594" w:hanging="1134"/>
      </w:pPr>
    </w:p>
    <w:p w14:paraId="079352F8" w14:textId="77777777" w:rsidR="001D32D6" w:rsidRPr="001D32D6" w:rsidRDefault="001D32D6" w:rsidP="001D32D6">
      <w:pPr>
        <w:autoSpaceDE w:val="0"/>
        <w:autoSpaceDN w:val="0"/>
        <w:adjustRightInd w:val="0"/>
        <w:spacing w:after="0" w:line="240" w:lineRule="auto"/>
        <w:ind w:left="1134" w:hanging="1134"/>
        <w:rPr>
          <w:rFonts w:eastAsiaTheme="minorEastAsia"/>
          <w:color w:val="FF0000"/>
        </w:rPr>
      </w:pPr>
      <w:r w:rsidRPr="001D32D6">
        <w:rPr>
          <w:color w:val="FF0000"/>
        </w:rPr>
        <w:t>7.</w:t>
      </w:r>
      <w:r>
        <w:t xml:space="preserve"> </w:t>
      </w:r>
      <w:r w:rsidRPr="001D32D6">
        <w:rPr>
          <w:rFonts w:eastAsiaTheme="minorEastAsia"/>
          <w:color w:val="FF0000"/>
        </w:rPr>
        <w:t>IT- eller informationssäkerhetsrelaterad händelse som innebär att data blir otillgänglig, förvanskad eller röjd eller avbrott i IT-tjänst som är kritisk för bolaget</w:t>
      </w:r>
    </w:p>
    <w:p w14:paraId="53CA38B1" w14:textId="77777777" w:rsidR="007B7749" w:rsidRPr="00CB6A4F" w:rsidRDefault="007B7749" w:rsidP="001D32D6">
      <w:pPr>
        <w:pStyle w:val="Punktlista"/>
        <w:numPr>
          <w:ilvl w:val="0"/>
          <w:numId w:val="0"/>
        </w:numPr>
        <w:ind w:left="1134" w:right="594" w:hanging="1134"/>
      </w:pPr>
    </w:p>
    <w:p w14:paraId="0FEDD13E" w14:textId="77777777" w:rsidR="007B7749" w:rsidRPr="00CB6A4F" w:rsidRDefault="007B7749" w:rsidP="001D32D6">
      <w:pPr>
        <w:pStyle w:val="Punktlista"/>
        <w:numPr>
          <w:ilvl w:val="0"/>
          <w:numId w:val="0"/>
        </w:numPr>
        <w:ind w:left="1134" w:right="594" w:hanging="1134"/>
      </w:pPr>
      <w:r w:rsidRPr="00CB6A4F">
        <w:t>Exempel på sådana händelser:</w:t>
      </w:r>
    </w:p>
    <w:p w14:paraId="3181036D" w14:textId="77777777" w:rsidR="007B7749" w:rsidRPr="00CB6A4F" w:rsidRDefault="007B7749" w:rsidP="001D32D6">
      <w:pPr>
        <w:pStyle w:val="Punktlista"/>
        <w:numPr>
          <w:ilvl w:val="0"/>
          <w:numId w:val="8"/>
        </w:numPr>
        <w:spacing w:before="120" w:after="120"/>
        <w:ind w:left="1491" w:right="595" w:hanging="1134"/>
      </w:pPr>
      <w:r w:rsidRPr="00CB6A4F">
        <w:t>information vid kundtransaktioner är felaktig eller bristfällig</w:t>
      </w:r>
    </w:p>
    <w:p w14:paraId="3D6D4683" w14:textId="77777777" w:rsidR="007B7749" w:rsidRPr="00CB6A4F" w:rsidRDefault="007B7749" w:rsidP="001D32D6">
      <w:pPr>
        <w:pStyle w:val="Punktlista"/>
        <w:numPr>
          <w:ilvl w:val="0"/>
          <w:numId w:val="8"/>
        </w:numPr>
        <w:spacing w:before="120" w:after="120"/>
        <w:ind w:right="595"/>
      </w:pPr>
      <w:r w:rsidRPr="00CB6A4F">
        <w:lastRenderedPageBreak/>
        <w:t>kundtransaktioner hanteras på ett felaktigt eller bristfälligt sätt</w:t>
      </w:r>
    </w:p>
    <w:p w14:paraId="2436E83B" w14:textId="77777777" w:rsidR="007B7749" w:rsidRPr="00CB6A4F" w:rsidRDefault="007B7749" w:rsidP="001D32D6">
      <w:pPr>
        <w:pStyle w:val="Punktlista"/>
        <w:numPr>
          <w:ilvl w:val="0"/>
          <w:numId w:val="8"/>
        </w:numPr>
        <w:spacing w:before="120" w:after="120"/>
        <w:ind w:left="1491" w:right="595" w:hanging="1134"/>
      </w:pPr>
      <w:r w:rsidRPr="00CB6A4F">
        <w:t>fel uppstår i tekniska system</w:t>
      </w:r>
    </w:p>
    <w:p w14:paraId="6977F4B3" w14:textId="77777777" w:rsidR="007B7749" w:rsidRPr="00CB6A4F" w:rsidRDefault="007B7749" w:rsidP="001D32D6">
      <w:pPr>
        <w:pStyle w:val="Punktlista"/>
        <w:numPr>
          <w:ilvl w:val="0"/>
          <w:numId w:val="8"/>
        </w:numPr>
        <w:spacing w:before="120" w:after="120"/>
        <w:ind w:left="1491" w:right="595" w:hanging="1134"/>
      </w:pPr>
      <w:r w:rsidRPr="00CB6A4F">
        <w:t>interna eller externa regler överträds</w:t>
      </w:r>
    </w:p>
    <w:p w14:paraId="39F36BFE" w14:textId="77777777" w:rsidR="007B7749" w:rsidRPr="00CB6A4F" w:rsidRDefault="007B7749" w:rsidP="001D32D6">
      <w:pPr>
        <w:pStyle w:val="Punktlista"/>
        <w:numPr>
          <w:ilvl w:val="0"/>
          <w:numId w:val="0"/>
        </w:numPr>
        <w:ind w:left="1134" w:right="594" w:hanging="1134"/>
      </w:pPr>
    </w:p>
    <w:p w14:paraId="13C6AD9A" w14:textId="1AD0070B" w:rsidR="007B7749" w:rsidRPr="00CB6A4F" w:rsidRDefault="007B7749" w:rsidP="001D32D6">
      <w:pPr>
        <w:pStyle w:val="Punktlista"/>
        <w:numPr>
          <w:ilvl w:val="0"/>
          <w:numId w:val="0"/>
        </w:numPr>
        <w:ind w:left="1134" w:right="594" w:hanging="1134"/>
      </w:pPr>
      <w:r w:rsidRPr="00CB6A4F">
        <w:t>Vidare ska företaget så snart som möjligt lämna upplysningar till Finansinspektionen om en revisor vidtar åtgärder enligt 9 kap. 43 och 44 §§</w:t>
      </w:r>
      <w:r>
        <w:t xml:space="preserve"> </w:t>
      </w:r>
      <w:r w:rsidRPr="00CB6A4F">
        <w:t>aktiebolagslagen (2005:551).</w:t>
      </w:r>
    </w:p>
    <w:p w14:paraId="47FEA956" w14:textId="77777777" w:rsidR="007B7749" w:rsidRPr="00CB6A4F" w:rsidRDefault="007B7749" w:rsidP="001D32D6">
      <w:pPr>
        <w:pStyle w:val="Punktlista"/>
        <w:numPr>
          <w:ilvl w:val="0"/>
          <w:numId w:val="0"/>
        </w:numPr>
        <w:ind w:left="1134" w:right="594" w:hanging="1134"/>
      </w:pPr>
    </w:p>
    <w:p w14:paraId="0FB33185" w14:textId="77777777" w:rsidR="007B7749" w:rsidRPr="00CB6A4F" w:rsidRDefault="007B7749" w:rsidP="001D32D6">
      <w:pPr>
        <w:pStyle w:val="Punktlista"/>
        <w:numPr>
          <w:ilvl w:val="0"/>
          <w:numId w:val="0"/>
        </w:numPr>
        <w:ind w:left="1134" w:right="594" w:hanging="1134"/>
      </w:pPr>
      <w:r w:rsidRPr="00CB6A4F">
        <w:t>Företaget ska så snart som möjligt även lämna upplysningar till</w:t>
      </w:r>
    </w:p>
    <w:p w14:paraId="687F76A8" w14:textId="764B4FEC" w:rsidR="007B7749" w:rsidRPr="00CB6A4F" w:rsidRDefault="007B7749" w:rsidP="001D32D6">
      <w:pPr>
        <w:pStyle w:val="Punktlista"/>
        <w:numPr>
          <w:ilvl w:val="0"/>
          <w:numId w:val="0"/>
        </w:numPr>
        <w:ind w:right="594"/>
      </w:pPr>
      <w:r w:rsidRPr="00CB6A4F">
        <w:t>Finansinspektionen när sådana händelser inträffar som medför, eller kan</w:t>
      </w:r>
      <w:r w:rsidR="001D32D6">
        <w:t xml:space="preserve"> </w:t>
      </w:r>
      <w:r w:rsidRPr="00CB6A4F">
        <w:t>komma att medföra väsentliga förändringar i företagets,</w:t>
      </w:r>
    </w:p>
    <w:p w14:paraId="7CF805D6" w14:textId="77777777" w:rsidR="007B7749" w:rsidRPr="00CB6A4F" w:rsidRDefault="007B7749" w:rsidP="001D32D6">
      <w:pPr>
        <w:pStyle w:val="Punktlista"/>
        <w:numPr>
          <w:ilvl w:val="0"/>
          <w:numId w:val="0"/>
        </w:numPr>
        <w:ind w:left="1134" w:right="594" w:hanging="1134"/>
      </w:pPr>
    </w:p>
    <w:p w14:paraId="5204D7C8" w14:textId="77777777" w:rsidR="007B7749" w:rsidRPr="00CB6A4F" w:rsidRDefault="007B7749" w:rsidP="001D32D6">
      <w:pPr>
        <w:pStyle w:val="Punktlista"/>
        <w:numPr>
          <w:ilvl w:val="0"/>
          <w:numId w:val="0"/>
        </w:numPr>
        <w:ind w:left="1134" w:right="594" w:hanging="1134"/>
      </w:pPr>
      <w:r w:rsidRPr="00CB6A4F">
        <w:t>1. verksamhet och resultat,</w:t>
      </w:r>
    </w:p>
    <w:p w14:paraId="1ED6E302" w14:textId="77777777" w:rsidR="007B7749" w:rsidRPr="00CB6A4F" w:rsidRDefault="007B7749" w:rsidP="001D32D6">
      <w:pPr>
        <w:pStyle w:val="Punktlista"/>
        <w:numPr>
          <w:ilvl w:val="0"/>
          <w:numId w:val="0"/>
        </w:numPr>
        <w:ind w:left="1134" w:right="594" w:hanging="1134"/>
      </w:pPr>
    </w:p>
    <w:p w14:paraId="34CF84EA" w14:textId="77777777" w:rsidR="007B7749" w:rsidRPr="00CB6A4F" w:rsidRDefault="007B7749" w:rsidP="001D32D6">
      <w:pPr>
        <w:pStyle w:val="Punktlista"/>
        <w:numPr>
          <w:ilvl w:val="0"/>
          <w:numId w:val="0"/>
        </w:numPr>
        <w:ind w:left="1134" w:right="594" w:hanging="1134"/>
      </w:pPr>
      <w:r w:rsidRPr="00CB6A4F">
        <w:t>2.  riskprofil, eller</w:t>
      </w:r>
    </w:p>
    <w:p w14:paraId="182ADFE6" w14:textId="77777777" w:rsidR="007B7749" w:rsidRPr="00CB6A4F" w:rsidRDefault="007B7749" w:rsidP="001D32D6">
      <w:pPr>
        <w:pStyle w:val="Punktlista"/>
        <w:numPr>
          <w:ilvl w:val="0"/>
          <w:numId w:val="0"/>
        </w:numPr>
        <w:ind w:left="1134" w:right="594" w:hanging="1134"/>
      </w:pPr>
    </w:p>
    <w:p w14:paraId="3FDC3AB2" w14:textId="77777777" w:rsidR="007B7749" w:rsidRPr="00CB6A4F" w:rsidRDefault="007B7749" w:rsidP="001D32D6">
      <w:pPr>
        <w:pStyle w:val="Punktlista"/>
        <w:numPr>
          <w:ilvl w:val="0"/>
          <w:numId w:val="0"/>
        </w:numPr>
        <w:ind w:left="1134" w:right="594" w:hanging="1134"/>
      </w:pPr>
      <w:r w:rsidRPr="00CB6A4F">
        <w:t>3. företagsstyrningssystem.</w:t>
      </w:r>
    </w:p>
    <w:p w14:paraId="7EC484B8" w14:textId="77777777" w:rsidR="007B7749" w:rsidRPr="00CB6A4F" w:rsidRDefault="007B7749" w:rsidP="001D32D6">
      <w:pPr>
        <w:pStyle w:val="Punktlista"/>
        <w:numPr>
          <w:ilvl w:val="0"/>
          <w:numId w:val="0"/>
        </w:numPr>
        <w:ind w:left="1134" w:right="594" w:hanging="1134"/>
      </w:pPr>
    </w:p>
    <w:p w14:paraId="542480AD" w14:textId="77777777" w:rsidR="007B7749" w:rsidRPr="00CB6A4F" w:rsidRDefault="007B7749" w:rsidP="001D32D6">
      <w:pPr>
        <w:pStyle w:val="Punktlista"/>
        <w:numPr>
          <w:ilvl w:val="0"/>
          <w:numId w:val="0"/>
        </w:numPr>
        <w:ind w:left="1134" w:right="594" w:hanging="1134"/>
      </w:pPr>
      <w:r w:rsidRPr="00CB6A4F">
        <w:t>Exempel på sådana händelser:</w:t>
      </w:r>
    </w:p>
    <w:p w14:paraId="1769542D" w14:textId="77777777" w:rsidR="007B7749" w:rsidRPr="00CB6A4F" w:rsidRDefault="007B7749" w:rsidP="001D32D6">
      <w:pPr>
        <w:pStyle w:val="Punktlista"/>
        <w:numPr>
          <w:ilvl w:val="0"/>
          <w:numId w:val="8"/>
        </w:numPr>
        <w:spacing w:before="120" w:after="120"/>
        <w:ind w:left="426" w:right="595" w:hanging="284"/>
      </w:pPr>
      <w:r w:rsidRPr="00CB6A4F">
        <w:t>förändringar i företagets affärsstrategi,</w:t>
      </w:r>
    </w:p>
    <w:p w14:paraId="3ECF0855" w14:textId="77777777" w:rsidR="007B7749" w:rsidRPr="00CB6A4F" w:rsidRDefault="007B7749" w:rsidP="001D32D6">
      <w:pPr>
        <w:pStyle w:val="Punktlista"/>
        <w:numPr>
          <w:ilvl w:val="0"/>
          <w:numId w:val="8"/>
        </w:numPr>
        <w:spacing w:before="120" w:after="120"/>
        <w:ind w:left="426" w:right="595" w:hanging="284"/>
      </w:pPr>
      <w:r w:rsidRPr="00CB6A4F">
        <w:t>större förändringar i företagets organisation,</w:t>
      </w:r>
    </w:p>
    <w:p w14:paraId="277F7162" w14:textId="77777777" w:rsidR="007B7749" w:rsidRPr="00CB6A4F" w:rsidRDefault="007B7749" w:rsidP="001D32D6">
      <w:pPr>
        <w:pStyle w:val="Punktlista"/>
        <w:numPr>
          <w:ilvl w:val="0"/>
          <w:numId w:val="8"/>
        </w:numPr>
        <w:spacing w:before="120" w:after="120"/>
        <w:ind w:left="426" w:right="595" w:hanging="284"/>
      </w:pPr>
      <w:r w:rsidRPr="00CB6A4F">
        <w:t>krav som riktas mot företaget till följd av rättsliga processer,</w:t>
      </w:r>
    </w:p>
    <w:p w14:paraId="5F2D8189" w14:textId="77777777" w:rsidR="007B7749" w:rsidRPr="00CB6A4F" w:rsidRDefault="007B7749" w:rsidP="001D32D6">
      <w:pPr>
        <w:pStyle w:val="Punktlista"/>
        <w:numPr>
          <w:ilvl w:val="0"/>
          <w:numId w:val="8"/>
        </w:numPr>
        <w:spacing w:before="120" w:after="120"/>
        <w:ind w:left="426" w:right="595" w:hanging="284"/>
      </w:pPr>
      <w:r w:rsidRPr="00CB6A4F">
        <w:t>större förändringar i företagets solvensbalansräkning,</w:t>
      </w:r>
    </w:p>
    <w:p w14:paraId="6FCF42CD" w14:textId="77777777" w:rsidR="007B7749" w:rsidRPr="00CB6A4F" w:rsidRDefault="007B7749" w:rsidP="001D32D6">
      <w:pPr>
        <w:pStyle w:val="Punktlista"/>
        <w:numPr>
          <w:ilvl w:val="0"/>
          <w:numId w:val="8"/>
        </w:numPr>
        <w:spacing w:before="120" w:after="120"/>
        <w:ind w:left="426" w:right="595" w:hanging="284"/>
      </w:pPr>
      <w:r w:rsidRPr="00CB6A4F">
        <w:t>fel eller brister i företagets styrning och kontroll av verksamheten,</w:t>
      </w:r>
    </w:p>
    <w:p w14:paraId="7D42B119" w14:textId="77777777" w:rsidR="007B7749" w:rsidRPr="00CB6A4F" w:rsidRDefault="007B7749" w:rsidP="001D32D6">
      <w:pPr>
        <w:pStyle w:val="Punktlista"/>
        <w:numPr>
          <w:ilvl w:val="0"/>
          <w:numId w:val="8"/>
        </w:numPr>
        <w:spacing w:before="120" w:after="120"/>
        <w:ind w:left="426" w:right="595" w:hanging="284"/>
      </w:pPr>
      <w:r w:rsidRPr="00CB6A4F">
        <w:t>fel eller brister i processer, rutiner eller tekniska system, och</w:t>
      </w:r>
    </w:p>
    <w:p w14:paraId="02910B64" w14:textId="77777777" w:rsidR="007B7749" w:rsidRPr="00CB6A4F" w:rsidRDefault="007B7749" w:rsidP="001D32D6">
      <w:pPr>
        <w:pStyle w:val="Punktlista"/>
        <w:numPr>
          <w:ilvl w:val="0"/>
          <w:numId w:val="8"/>
        </w:numPr>
        <w:spacing w:before="120" w:after="120"/>
        <w:ind w:left="426" w:right="595" w:hanging="284"/>
      </w:pPr>
      <w:r w:rsidRPr="00CB6A4F">
        <w:t>förändringar i företagets riskprofil, finansiering eller framtida förvaltningsåtgärder eller om företaget genomfört en egen risk- och solvensbedömning utöver den bedömning som ska göras enligt 10 kap. 11 och 12 §§ försäkringsrörelselagen (2010:2043).</w:t>
      </w:r>
    </w:p>
    <w:p w14:paraId="7A5A480B" w14:textId="77777777" w:rsidR="001D32D6" w:rsidRDefault="001D32D6" w:rsidP="001D32D6">
      <w:pPr>
        <w:pStyle w:val="Rubrik1"/>
        <w:tabs>
          <w:tab w:val="num" w:pos="1134"/>
        </w:tabs>
        <w:spacing w:before="240" w:after="60"/>
        <w:ind w:left="1134" w:right="594" w:hanging="1134"/>
        <w:rPr>
          <w:rFonts w:cstheme="majorHAnsi"/>
          <w:sz w:val="24"/>
          <w:szCs w:val="24"/>
        </w:rPr>
      </w:pPr>
      <w:bookmarkStart w:id="1" w:name="_Toc131253768"/>
      <w:bookmarkStart w:id="2" w:name="_Toc297888110"/>
    </w:p>
    <w:p w14:paraId="116E9FD2" w14:textId="581A0C64" w:rsidR="007B7749" w:rsidRPr="001E57AC" w:rsidRDefault="007B7749" w:rsidP="001D32D6">
      <w:pPr>
        <w:pStyle w:val="Rubrik1"/>
        <w:tabs>
          <w:tab w:val="num" w:pos="1134"/>
        </w:tabs>
        <w:spacing w:before="240" w:after="60"/>
        <w:ind w:left="1134" w:right="594" w:hanging="1134"/>
        <w:rPr>
          <w:rFonts w:cstheme="majorHAnsi"/>
          <w:sz w:val="24"/>
          <w:szCs w:val="24"/>
        </w:rPr>
      </w:pPr>
      <w:r w:rsidRPr="001E57AC">
        <w:rPr>
          <w:rFonts w:cstheme="majorHAnsi"/>
          <w:sz w:val="24"/>
          <w:szCs w:val="24"/>
        </w:rPr>
        <w:t>Handlingsplan</w:t>
      </w:r>
      <w:bookmarkEnd w:id="1"/>
      <w:bookmarkEnd w:id="2"/>
    </w:p>
    <w:p w14:paraId="5BF60060" w14:textId="77777777" w:rsidR="007B7749" w:rsidRPr="00CB6A4F" w:rsidRDefault="007B7749" w:rsidP="001D32D6">
      <w:pPr>
        <w:ind w:right="594"/>
        <w:rPr>
          <w:rFonts w:ascii="Times New Roman" w:hAnsi="Times New Roman"/>
          <w:sz w:val="24"/>
          <w:szCs w:val="24"/>
        </w:rPr>
      </w:pPr>
      <w:r w:rsidRPr="00CB6A4F">
        <w:rPr>
          <w:rFonts w:ascii="Times New Roman" w:hAnsi="Times New Roman"/>
          <w:sz w:val="24"/>
          <w:szCs w:val="24"/>
        </w:rPr>
        <w:t>En anställd på företaget som får kännedom om en händelse av väsentlig betydelse ska genast informera V</w:t>
      </w:r>
      <w:r>
        <w:rPr>
          <w:rFonts w:ascii="Times New Roman" w:hAnsi="Times New Roman"/>
          <w:sz w:val="24"/>
          <w:szCs w:val="24"/>
        </w:rPr>
        <w:t>d</w:t>
      </w:r>
      <w:r w:rsidRPr="00CB6A4F">
        <w:rPr>
          <w:rFonts w:ascii="Times New Roman" w:hAnsi="Times New Roman"/>
          <w:sz w:val="24"/>
          <w:szCs w:val="24"/>
        </w:rPr>
        <w:t xml:space="preserve"> och regelefterlevnadsfunktionen. V</w:t>
      </w:r>
      <w:r>
        <w:rPr>
          <w:rFonts w:ascii="Times New Roman" w:hAnsi="Times New Roman"/>
          <w:sz w:val="24"/>
          <w:szCs w:val="24"/>
        </w:rPr>
        <w:t>d</w:t>
      </w:r>
      <w:r w:rsidRPr="00CB6A4F">
        <w:rPr>
          <w:rFonts w:ascii="Times New Roman" w:hAnsi="Times New Roman"/>
          <w:sz w:val="24"/>
          <w:szCs w:val="24"/>
        </w:rPr>
        <w:t xml:space="preserve"> skall informera regelefterlevnadsfunktionen om så inte skett samt styrelseordföranden och sammankalla till ett extra styrelsemöte så snart som möjligt om styrelseordförande finner det nödvändigt. V</w:t>
      </w:r>
      <w:r>
        <w:rPr>
          <w:rFonts w:ascii="Times New Roman" w:hAnsi="Times New Roman"/>
          <w:sz w:val="24"/>
          <w:szCs w:val="24"/>
        </w:rPr>
        <w:t>d</w:t>
      </w:r>
      <w:r w:rsidRPr="00CB6A4F">
        <w:rPr>
          <w:rFonts w:ascii="Times New Roman" w:hAnsi="Times New Roman"/>
          <w:sz w:val="24"/>
          <w:szCs w:val="24"/>
        </w:rPr>
        <w:t xml:space="preserve"> skall i samarbete med regelefterlevnadsfunktionen genast samla in all tillgänglig information om händelsen. Informationen skall sammanställas i en rapport som snarast ska lämnas till styrelsen för beslut och därefter till Finansinspektionen.</w:t>
      </w:r>
    </w:p>
    <w:p w14:paraId="07793F7D" w14:textId="3B99B1BA" w:rsidR="007B7749" w:rsidRPr="00CB6A4F" w:rsidRDefault="007B7749" w:rsidP="001D32D6">
      <w:pPr>
        <w:tabs>
          <w:tab w:val="num" w:pos="1134"/>
        </w:tabs>
        <w:ind w:left="1134" w:right="594" w:hanging="1134"/>
        <w:rPr>
          <w:rFonts w:ascii="Times New Roman" w:hAnsi="Times New Roman"/>
          <w:sz w:val="24"/>
          <w:szCs w:val="24"/>
        </w:rPr>
      </w:pPr>
      <w:r w:rsidRPr="00CB6A4F">
        <w:rPr>
          <w:rFonts w:ascii="Times New Roman" w:hAnsi="Times New Roman"/>
          <w:sz w:val="24"/>
          <w:szCs w:val="24"/>
        </w:rPr>
        <w:t xml:space="preserve"> Rapporten ska innehålla</w:t>
      </w:r>
      <w:r w:rsidR="001D32D6">
        <w:rPr>
          <w:rFonts w:ascii="Times New Roman" w:hAnsi="Times New Roman"/>
          <w:sz w:val="24"/>
          <w:szCs w:val="24"/>
        </w:rPr>
        <w:t>:</w:t>
      </w:r>
    </w:p>
    <w:p w14:paraId="5185655E" w14:textId="77777777" w:rsidR="007B7749" w:rsidRPr="00CB6A4F" w:rsidRDefault="007B7749" w:rsidP="001D32D6">
      <w:pPr>
        <w:pStyle w:val="Punktlista"/>
        <w:numPr>
          <w:ilvl w:val="0"/>
          <w:numId w:val="8"/>
        </w:numPr>
        <w:spacing w:before="120" w:after="120"/>
        <w:ind w:left="1491" w:right="595" w:hanging="1134"/>
      </w:pPr>
      <w:r w:rsidRPr="00CB6A4F">
        <w:lastRenderedPageBreak/>
        <w:t>Information om den anställdes tjänsteställning om någon anställd hos bolaget är berörd.</w:t>
      </w:r>
    </w:p>
    <w:p w14:paraId="058EA184" w14:textId="77777777" w:rsidR="007B7749" w:rsidRPr="00CB6A4F" w:rsidRDefault="007B7749" w:rsidP="001D32D6">
      <w:pPr>
        <w:pStyle w:val="Punktlista"/>
        <w:numPr>
          <w:ilvl w:val="0"/>
          <w:numId w:val="8"/>
        </w:numPr>
        <w:spacing w:before="120" w:after="120"/>
        <w:ind w:left="1491" w:right="595" w:hanging="1134"/>
      </w:pPr>
      <w:r w:rsidRPr="00CB6A4F">
        <w:t xml:space="preserve">Beskrivning av händelsen. Av beskrivningen bör framgå förfaringssättet och övriga omständigheter av betydelse. </w:t>
      </w:r>
    </w:p>
    <w:p w14:paraId="4BD6FAAD" w14:textId="77777777" w:rsidR="007B7749" w:rsidRPr="00CB6A4F" w:rsidRDefault="007B7749" w:rsidP="001D32D6">
      <w:pPr>
        <w:pStyle w:val="Punktlista"/>
        <w:numPr>
          <w:ilvl w:val="0"/>
          <w:numId w:val="8"/>
        </w:numPr>
        <w:spacing w:before="120" w:after="120"/>
        <w:ind w:left="1491" w:right="595" w:hanging="1134"/>
      </w:pPr>
      <w:r w:rsidRPr="00CB6A4F">
        <w:t xml:space="preserve">Den ekonomiska omfattningen (beloppets storlek) samt en bedömning av den skada händelsen har förorsakat eller kan komma att förorsaka Försäkrings AB Göta Lejon eller dess </w:t>
      </w:r>
      <w:r>
        <w:t>försäkringstagare</w:t>
      </w:r>
      <w:r w:rsidRPr="00CB6A4F">
        <w:t xml:space="preserve">. </w:t>
      </w:r>
    </w:p>
    <w:p w14:paraId="115BA1C2" w14:textId="77777777" w:rsidR="007B7749" w:rsidRPr="00CB6A4F" w:rsidRDefault="007B7749" w:rsidP="001D32D6">
      <w:pPr>
        <w:pStyle w:val="Punktlista"/>
        <w:numPr>
          <w:ilvl w:val="0"/>
          <w:numId w:val="8"/>
        </w:numPr>
        <w:spacing w:before="120" w:after="120"/>
        <w:ind w:left="1491" w:right="595" w:hanging="1134"/>
      </w:pPr>
      <w:r w:rsidRPr="00CB6A4F">
        <w:t xml:space="preserve">Tidpunkt för upptäckten och uppgift om hur länge händelsen har pågått innan den upptäcktes. </w:t>
      </w:r>
    </w:p>
    <w:p w14:paraId="11116BD6" w14:textId="3D391293" w:rsidR="007B7749" w:rsidRPr="00CB6A4F" w:rsidRDefault="007B7749" w:rsidP="001D32D6">
      <w:pPr>
        <w:pStyle w:val="Punktlista"/>
        <w:numPr>
          <w:ilvl w:val="0"/>
          <w:numId w:val="8"/>
        </w:numPr>
        <w:spacing w:before="120" w:after="120"/>
        <w:ind w:right="594"/>
      </w:pPr>
      <w:r w:rsidRPr="00CB6A4F">
        <w:t xml:space="preserve">Omständigheter kring händelsens upptäckt. Det bör framgå om det har förekommit brister i Försäkrings AB Göta Lejons interna kontroll och i så fall vilka brister. </w:t>
      </w:r>
    </w:p>
    <w:p w14:paraId="64629F92" w14:textId="2EE0D6A3" w:rsidR="007B7749" w:rsidRPr="00CB6A4F" w:rsidRDefault="007B7749" w:rsidP="001D32D6">
      <w:pPr>
        <w:pStyle w:val="Punktlista"/>
        <w:numPr>
          <w:ilvl w:val="0"/>
          <w:numId w:val="0"/>
        </w:numPr>
        <w:tabs>
          <w:tab w:val="num" w:pos="1134"/>
        </w:tabs>
        <w:ind w:right="594"/>
      </w:pPr>
      <w:r w:rsidRPr="00CB6A4F">
        <w:t>Vid det extra styrelsemötet ska V</w:t>
      </w:r>
      <w:r w:rsidR="001D32D6">
        <w:t>D</w:t>
      </w:r>
      <w:r w:rsidRPr="00CB6A4F">
        <w:t xml:space="preserve"> redogöra för rapporten. Styrelsen har därefter att besluta om åtgärder. Om Försäkrings AB Göta Lejon har utsatts för ett misstänkt eller konstaterat brott bör V</w:t>
      </w:r>
      <w:r w:rsidR="001D32D6">
        <w:t>D</w:t>
      </w:r>
      <w:r w:rsidRPr="00CB6A4F">
        <w:t xml:space="preserve"> eller styrelsen göra en anmälan till polis- eller åklagarmyndighet.</w:t>
      </w:r>
    </w:p>
    <w:p w14:paraId="36909209" w14:textId="77777777" w:rsidR="007B7749" w:rsidRPr="00CB6A4F" w:rsidRDefault="007B7749" w:rsidP="001D32D6">
      <w:pPr>
        <w:pStyle w:val="Punktlista"/>
        <w:numPr>
          <w:ilvl w:val="0"/>
          <w:numId w:val="0"/>
        </w:numPr>
        <w:tabs>
          <w:tab w:val="num" w:pos="1134"/>
        </w:tabs>
        <w:ind w:left="1134" w:right="594" w:hanging="1134"/>
      </w:pPr>
    </w:p>
    <w:p w14:paraId="633F2F9F" w14:textId="20AA6E72" w:rsidR="007B7749" w:rsidRPr="00CB6A4F" w:rsidRDefault="007B7749" w:rsidP="001D32D6">
      <w:pPr>
        <w:pStyle w:val="Punktlista"/>
        <w:numPr>
          <w:ilvl w:val="0"/>
          <w:numId w:val="0"/>
        </w:numPr>
        <w:tabs>
          <w:tab w:val="num" w:pos="1134"/>
        </w:tabs>
        <w:ind w:left="1134" w:right="594" w:hanging="1134"/>
      </w:pPr>
      <w:r w:rsidRPr="00CB6A4F">
        <w:t>V</w:t>
      </w:r>
      <w:r w:rsidR="001D32D6">
        <w:t xml:space="preserve">D </w:t>
      </w:r>
      <w:r w:rsidRPr="00CB6A4F">
        <w:t xml:space="preserve">ska därefter, i samarbete med regelefterlevnadsfunktionen, </w:t>
      </w:r>
      <w:r w:rsidR="001D32D6">
        <w:t>k</w:t>
      </w:r>
      <w:r w:rsidRPr="00CB6A4F">
        <w:t>omplettera sin rapport med följande information:</w:t>
      </w:r>
    </w:p>
    <w:p w14:paraId="0A12C420" w14:textId="77777777" w:rsidR="007B7749" w:rsidRPr="00CB6A4F" w:rsidRDefault="007B7749" w:rsidP="001D32D6">
      <w:pPr>
        <w:pStyle w:val="Liststycke"/>
        <w:ind w:left="1854" w:right="594" w:hanging="1134"/>
      </w:pPr>
    </w:p>
    <w:p w14:paraId="0CFABF8B" w14:textId="77777777" w:rsidR="007B7749" w:rsidRPr="00CB6A4F" w:rsidRDefault="007B7749" w:rsidP="001D32D6">
      <w:pPr>
        <w:pStyle w:val="Punktlista"/>
        <w:numPr>
          <w:ilvl w:val="0"/>
          <w:numId w:val="8"/>
        </w:numPr>
        <w:spacing w:before="120" w:after="120"/>
        <w:ind w:left="1491" w:right="595" w:hanging="1134"/>
      </w:pPr>
      <w:r w:rsidRPr="00CB6A4F">
        <w:t xml:space="preserve">Beskrivning av vilka åtgärder som har vidtagits eller kommer att vidtas med anledning av händelsen beträffande t.ex. interna instruktioner, ansvars- och arbetsfördelning från kontrollsynpunkt, informations- och rapportsystem, kontroller för IT-säkerhet, kontroller inom ekonomisystem, redovisningsprinciper, information till drabbade </w:t>
      </w:r>
      <w:r>
        <w:t>försäkringstagare</w:t>
      </w:r>
      <w:r w:rsidRPr="00CB6A4F">
        <w:t xml:space="preserve"> m.m. </w:t>
      </w:r>
    </w:p>
    <w:p w14:paraId="0A92E8A7" w14:textId="77777777" w:rsidR="007B7749" w:rsidRPr="00CB6A4F" w:rsidRDefault="007B7749" w:rsidP="001D32D6">
      <w:pPr>
        <w:pStyle w:val="Punktlista"/>
        <w:numPr>
          <w:ilvl w:val="0"/>
          <w:numId w:val="8"/>
        </w:numPr>
        <w:spacing w:before="120" w:after="120"/>
        <w:ind w:left="1491" w:right="595" w:hanging="1134"/>
      </w:pPr>
      <w:r w:rsidRPr="00CB6A4F">
        <w:t xml:space="preserve">Vidtagna eller planerade disciplinära åtgärder. </w:t>
      </w:r>
    </w:p>
    <w:p w14:paraId="40F40823" w14:textId="77777777" w:rsidR="007B7749" w:rsidRPr="00CB6A4F" w:rsidRDefault="007B7749" w:rsidP="001D32D6">
      <w:pPr>
        <w:pStyle w:val="Punktlista"/>
        <w:numPr>
          <w:ilvl w:val="0"/>
          <w:numId w:val="8"/>
        </w:numPr>
        <w:spacing w:before="120" w:after="120"/>
        <w:ind w:left="1491" w:right="595" w:hanging="1134"/>
      </w:pPr>
      <w:r w:rsidRPr="00CB6A4F">
        <w:t>Tidpunkt för anmälan till polismyndighet.</w:t>
      </w:r>
    </w:p>
    <w:p w14:paraId="6CE90CC4" w14:textId="77777777" w:rsidR="007B7749" w:rsidRPr="00CB6A4F" w:rsidRDefault="007B7749" w:rsidP="001D32D6">
      <w:pPr>
        <w:pStyle w:val="Punktlista"/>
        <w:numPr>
          <w:ilvl w:val="0"/>
          <w:numId w:val="0"/>
        </w:numPr>
        <w:spacing w:before="120" w:after="120"/>
        <w:ind w:left="360" w:right="595" w:hanging="1134"/>
      </w:pPr>
    </w:p>
    <w:p w14:paraId="439BA42E" w14:textId="77777777" w:rsidR="007B7749" w:rsidRPr="00CB6A4F" w:rsidRDefault="007B7749" w:rsidP="001D32D6">
      <w:pPr>
        <w:ind w:right="594"/>
        <w:rPr>
          <w:rFonts w:ascii="Times New Roman" w:hAnsi="Times New Roman"/>
          <w:sz w:val="24"/>
          <w:szCs w:val="24"/>
        </w:rPr>
      </w:pPr>
      <w:r w:rsidRPr="00CB6A4F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d</w:t>
      </w:r>
      <w:r w:rsidRPr="00CB6A4F">
        <w:rPr>
          <w:rFonts w:ascii="Times New Roman" w:hAnsi="Times New Roman"/>
          <w:sz w:val="24"/>
          <w:szCs w:val="24"/>
        </w:rPr>
        <w:t xml:space="preserve"> ska därefter utan dröjsmål lämna den nya rapporten till Finansinspektionen och meddela regelefterlevnadsfunktionen att så skett. </w:t>
      </w:r>
    </w:p>
    <w:p w14:paraId="44F63E9E" w14:textId="77777777" w:rsidR="007B7749" w:rsidRPr="001E57AC" w:rsidRDefault="007B7749" w:rsidP="001D32D6">
      <w:pPr>
        <w:spacing w:after="0" w:line="240" w:lineRule="auto"/>
        <w:ind w:left="1134" w:right="594" w:hanging="1134"/>
        <w:rPr>
          <w:rFonts w:asciiTheme="majorHAnsi" w:hAnsiTheme="majorHAnsi" w:cstheme="majorHAnsi"/>
          <w:b/>
          <w:sz w:val="24"/>
          <w:szCs w:val="24"/>
        </w:rPr>
      </w:pPr>
      <w:r w:rsidRPr="001E57AC">
        <w:rPr>
          <w:rFonts w:asciiTheme="majorHAnsi" w:hAnsiTheme="majorHAnsi" w:cstheme="majorHAnsi"/>
          <w:b/>
          <w:sz w:val="24"/>
          <w:szCs w:val="24"/>
        </w:rPr>
        <w:t>1.3 Dokumentets beslutsordning</w:t>
      </w:r>
    </w:p>
    <w:p w14:paraId="35CD1F4C" w14:textId="7C6B1198" w:rsidR="007B7749" w:rsidRDefault="007B7749" w:rsidP="001D32D6">
      <w:pPr>
        <w:ind w:right="594"/>
        <w:rPr>
          <w:rFonts w:ascii="Times New Roman" w:hAnsi="Times New Roman"/>
          <w:sz w:val="24"/>
          <w:szCs w:val="24"/>
        </w:rPr>
      </w:pPr>
      <w:r w:rsidRPr="00CB6A4F">
        <w:rPr>
          <w:rFonts w:ascii="Times New Roman" w:hAnsi="Times New Roman"/>
          <w:sz w:val="24"/>
          <w:szCs w:val="24"/>
        </w:rPr>
        <w:t>Denna riktlinje fastställs av styrelsen och träder i kraft dagen för beslut. Riktlinjen ska fastställas och godkännas minst en gång per år även om inga ändringar beslutas. V</w:t>
      </w:r>
      <w:r>
        <w:rPr>
          <w:rFonts w:ascii="Times New Roman" w:hAnsi="Times New Roman"/>
          <w:sz w:val="24"/>
          <w:szCs w:val="24"/>
        </w:rPr>
        <w:t>d</w:t>
      </w:r>
      <w:r w:rsidRPr="00CB6A4F">
        <w:rPr>
          <w:rFonts w:ascii="Times New Roman" w:hAnsi="Times New Roman"/>
          <w:sz w:val="24"/>
          <w:szCs w:val="24"/>
        </w:rPr>
        <w:t xml:space="preserve"> ansvarar för att riktlinjen uppdateras.</w:t>
      </w:r>
    </w:p>
    <w:p w14:paraId="328EE776" w14:textId="77777777" w:rsidR="007B7749" w:rsidRPr="00CB6A4F" w:rsidRDefault="007B7749" w:rsidP="001D32D6">
      <w:pPr>
        <w:ind w:left="1134" w:right="594" w:hanging="1134"/>
        <w:rPr>
          <w:rFonts w:ascii="Times New Roman" w:hAnsi="Times New Roman"/>
          <w:sz w:val="24"/>
          <w:szCs w:val="24"/>
        </w:rPr>
      </w:pPr>
    </w:p>
    <w:p w14:paraId="19366FAB" w14:textId="77777777" w:rsidR="007B7749" w:rsidRPr="001E57AC" w:rsidRDefault="007B7749" w:rsidP="001D32D6">
      <w:pPr>
        <w:spacing w:after="0"/>
        <w:ind w:left="1134" w:right="594" w:hanging="1134"/>
        <w:rPr>
          <w:rFonts w:asciiTheme="majorHAnsi" w:hAnsiTheme="majorHAnsi" w:cstheme="majorHAnsi"/>
          <w:b/>
          <w:sz w:val="24"/>
          <w:szCs w:val="24"/>
        </w:rPr>
      </w:pPr>
      <w:r w:rsidRPr="001E57AC">
        <w:rPr>
          <w:rFonts w:asciiTheme="majorHAnsi" w:hAnsiTheme="majorHAnsi" w:cstheme="majorHAnsi"/>
          <w:b/>
          <w:sz w:val="24"/>
          <w:szCs w:val="24"/>
        </w:rPr>
        <w:t>1.4 Efterlevnad</w:t>
      </w:r>
    </w:p>
    <w:p w14:paraId="5866AA6B" w14:textId="38CCD7F6" w:rsidR="007B7749" w:rsidRPr="00CB6A4F" w:rsidRDefault="007B7749" w:rsidP="001D32D6">
      <w:pPr>
        <w:ind w:right="594"/>
        <w:rPr>
          <w:rFonts w:ascii="Times New Roman" w:hAnsi="Times New Roman"/>
          <w:sz w:val="24"/>
          <w:szCs w:val="24"/>
        </w:rPr>
      </w:pPr>
      <w:r w:rsidRPr="00CB6A4F">
        <w:rPr>
          <w:rFonts w:ascii="Times New Roman" w:hAnsi="Times New Roman"/>
          <w:sz w:val="24"/>
          <w:szCs w:val="24"/>
        </w:rPr>
        <w:t xml:space="preserve">Chefer ansvarar för att medarbetare har kännedom om och efterlever denna </w:t>
      </w:r>
      <w:r w:rsidR="001D32D6">
        <w:rPr>
          <w:rFonts w:ascii="Times New Roman" w:hAnsi="Times New Roman"/>
          <w:sz w:val="24"/>
          <w:szCs w:val="24"/>
        </w:rPr>
        <w:t>r</w:t>
      </w:r>
      <w:r w:rsidRPr="00CB6A4F">
        <w:rPr>
          <w:rFonts w:ascii="Times New Roman" w:hAnsi="Times New Roman"/>
          <w:sz w:val="24"/>
          <w:szCs w:val="24"/>
        </w:rPr>
        <w:t>iktlinje. Uppföljning av riktlinjen ska föras av funktionen regelefterlevnad och av internrevisionen.</w:t>
      </w:r>
    </w:p>
    <w:p w14:paraId="75A4A6A8" w14:textId="35B2C8AA" w:rsidR="007B7749" w:rsidRPr="00CB6A4F" w:rsidRDefault="007B7749" w:rsidP="001D32D6">
      <w:pPr>
        <w:spacing w:after="0"/>
        <w:ind w:right="594"/>
        <w:rPr>
          <w:rFonts w:ascii="Times New Roman" w:hAnsi="Times New Roman" w:cs="Times New Roman"/>
          <w:sz w:val="24"/>
          <w:szCs w:val="24"/>
        </w:rPr>
      </w:pPr>
      <w:bookmarkStart w:id="3" w:name="_Toc80430341"/>
      <w:bookmarkStart w:id="4" w:name="_Toc131253770"/>
      <w:bookmarkStart w:id="5" w:name="_Toc297888112"/>
      <w:r w:rsidRPr="001E57AC">
        <w:rPr>
          <w:rFonts w:asciiTheme="majorHAnsi" w:hAnsiTheme="majorHAnsi" w:cstheme="majorHAnsi"/>
          <w:b/>
          <w:sz w:val="24"/>
          <w:szCs w:val="24"/>
        </w:rPr>
        <w:lastRenderedPageBreak/>
        <w:t>1.5 Extern information</w:t>
      </w:r>
      <w:bookmarkEnd w:id="3"/>
      <w:bookmarkEnd w:id="4"/>
      <w:bookmarkEnd w:id="5"/>
    </w:p>
    <w:p w14:paraId="489A686D" w14:textId="77777777" w:rsidR="007B7749" w:rsidRPr="00CB6A4F" w:rsidRDefault="007B7749" w:rsidP="001D32D6">
      <w:pPr>
        <w:ind w:right="594"/>
        <w:rPr>
          <w:sz w:val="20"/>
          <w:szCs w:val="20"/>
        </w:rPr>
      </w:pPr>
      <w:r w:rsidRPr="00CB6A4F">
        <w:rPr>
          <w:rFonts w:ascii="Times New Roman" w:hAnsi="Times New Roman"/>
          <w:sz w:val="24"/>
          <w:szCs w:val="24"/>
        </w:rPr>
        <w:t>Alla kontakter med media sköts av V</w:t>
      </w:r>
      <w:r>
        <w:rPr>
          <w:rFonts w:ascii="Times New Roman" w:hAnsi="Times New Roman"/>
          <w:sz w:val="24"/>
          <w:szCs w:val="24"/>
        </w:rPr>
        <w:t>d</w:t>
      </w:r>
      <w:r w:rsidRPr="00CB6A4F">
        <w:rPr>
          <w:rFonts w:ascii="Times New Roman" w:hAnsi="Times New Roman"/>
          <w:sz w:val="24"/>
          <w:szCs w:val="24"/>
        </w:rPr>
        <w:t xml:space="preserve"> eller av företagsledningen utsedd talesperson, dock med beaktande av anställds lagliga rätt att yttra sig i media.</w:t>
      </w:r>
    </w:p>
    <w:p w14:paraId="6E7E283E" w14:textId="22539AEC" w:rsidR="00B10E8B" w:rsidRDefault="00B10E8B" w:rsidP="00B10E8B">
      <w:pPr>
        <w:jc w:val="right"/>
        <w:rPr>
          <w:sz w:val="20"/>
          <w:szCs w:val="20"/>
        </w:rPr>
      </w:pPr>
    </w:p>
    <w:sectPr w:rsidR="00B10E8B" w:rsidSect="009928A6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1EFE2F" w14:textId="77777777" w:rsidR="00B10E8B" w:rsidRDefault="00B10E8B" w:rsidP="00BF282B">
      <w:pPr>
        <w:spacing w:after="0" w:line="240" w:lineRule="auto"/>
      </w:pPr>
      <w:r>
        <w:separator/>
      </w:r>
    </w:p>
  </w:endnote>
  <w:endnote w:type="continuationSeparator" w:id="0">
    <w:p w14:paraId="20991624" w14:textId="77777777" w:rsidR="00B10E8B" w:rsidRDefault="00B10E8B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3EF0DB9D" w14:textId="77777777" w:rsidTr="00986A1D">
      <w:tc>
        <w:tcPr>
          <w:tcW w:w="5812" w:type="dxa"/>
        </w:tcPr>
        <w:p w14:paraId="2A8976AB" w14:textId="77777777"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B630A6">
                <w:t>Försäkrings AB Göta Lejon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B23AEF">
                <w:t>Rutin för hantering av e-post</w:t>
              </w:r>
            </w:sdtContent>
          </w:sdt>
        </w:p>
      </w:tc>
      <w:tc>
        <w:tcPr>
          <w:tcW w:w="1343" w:type="dxa"/>
        </w:tcPr>
        <w:p w14:paraId="769A54CF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19B48F79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B10E8B">
            <w:rPr>
              <w:noProof/>
            </w:rPr>
            <w:fldChar w:fldCharType="begin"/>
          </w:r>
          <w:r w:rsidR="00B10E8B">
            <w:rPr>
              <w:noProof/>
            </w:rPr>
            <w:instrText xml:space="preserve"> NUMPAGES   \* MERGEFORMAT </w:instrText>
          </w:r>
          <w:r w:rsidR="00B10E8B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B10E8B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31C3F8C9" w14:textId="77777777" w:rsidTr="00986A1D">
      <w:tc>
        <w:tcPr>
          <w:tcW w:w="5812" w:type="dxa"/>
        </w:tcPr>
        <w:p w14:paraId="3925FAE4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0116C30A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614511AD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21AF3581" w14:textId="77777777" w:rsidTr="00986A1D">
      <w:tc>
        <w:tcPr>
          <w:tcW w:w="5812" w:type="dxa"/>
        </w:tcPr>
        <w:p w14:paraId="462BFB47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2053BED8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47CD1519" w14:textId="77777777" w:rsidR="00986A1D" w:rsidRDefault="00986A1D" w:rsidP="00986A1D">
          <w:pPr>
            <w:pStyle w:val="Sidfot"/>
            <w:jc w:val="right"/>
          </w:pPr>
        </w:p>
      </w:tc>
    </w:tr>
  </w:tbl>
  <w:p w14:paraId="59A44C09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1ED32742" w14:textId="77777777" w:rsidTr="00986A1D">
      <w:tc>
        <w:tcPr>
          <w:tcW w:w="5812" w:type="dxa"/>
        </w:tcPr>
        <w:p w14:paraId="6EC7413E" w14:textId="77777777" w:rsidR="00752CBB" w:rsidRDefault="00752CBB">
          <w:pPr>
            <w:pStyle w:val="Sidfot"/>
          </w:pPr>
        </w:p>
      </w:tc>
      <w:tc>
        <w:tcPr>
          <w:tcW w:w="1343" w:type="dxa"/>
        </w:tcPr>
        <w:p w14:paraId="6D1EE999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55F47902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9928A6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B10E8B">
            <w:rPr>
              <w:noProof/>
            </w:rPr>
            <w:fldChar w:fldCharType="begin"/>
          </w:r>
          <w:r w:rsidR="00B10E8B">
            <w:rPr>
              <w:noProof/>
            </w:rPr>
            <w:instrText xml:space="preserve"> NUMPAGES   \* MERGEFORMAT </w:instrText>
          </w:r>
          <w:r w:rsidR="00B10E8B">
            <w:rPr>
              <w:noProof/>
            </w:rPr>
            <w:fldChar w:fldCharType="separate"/>
          </w:r>
          <w:r w:rsidR="009928A6">
            <w:rPr>
              <w:noProof/>
            </w:rPr>
            <w:t>1</w:t>
          </w:r>
          <w:r w:rsidR="00B10E8B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176864A5" w14:textId="77777777" w:rsidTr="00986A1D">
      <w:tc>
        <w:tcPr>
          <w:tcW w:w="5812" w:type="dxa"/>
        </w:tcPr>
        <w:p w14:paraId="2595C72D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7E06C5A9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64D9ED10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6D167B13" w14:textId="77777777" w:rsidTr="00986A1D">
      <w:tc>
        <w:tcPr>
          <w:tcW w:w="5812" w:type="dxa"/>
        </w:tcPr>
        <w:p w14:paraId="1AE9BBA6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13D0A181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45D08F4E" w14:textId="77777777" w:rsidR="00986A1D" w:rsidRDefault="00986A1D" w:rsidP="00986A1D">
          <w:pPr>
            <w:pStyle w:val="Sidfot"/>
            <w:jc w:val="right"/>
          </w:pPr>
        </w:p>
      </w:tc>
    </w:tr>
  </w:tbl>
  <w:p w14:paraId="127C7CA5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1259869E" w14:textId="77777777" w:rsidTr="00FB3384">
      <w:tc>
        <w:tcPr>
          <w:tcW w:w="7118" w:type="dxa"/>
          <w:gridSpan w:val="2"/>
        </w:tcPr>
        <w:p w14:paraId="190CE614" w14:textId="77777777" w:rsidR="00752CBB" w:rsidRDefault="00752CBB" w:rsidP="007A7F8D">
          <w:pPr>
            <w:pStyle w:val="Sidfot"/>
          </w:pPr>
        </w:p>
      </w:tc>
      <w:tc>
        <w:tcPr>
          <w:tcW w:w="1954" w:type="dxa"/>
        </w:tcPr>
        <w:p w14:paraId="1EE355A6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9928A6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B10E8B">
            <w:rPr>
              <w:noProof/>
            </w:rPr>
            <w:fldChar w:fldCharType="begin"/>
          </w:r>
          <w:r w:rsidR="00B10E8B">
            <w:rPr>
              <w:noProof/>
            </w:rPr>
            <w:instrText xml:space="preserve"> NUMPAGES   \* MERGEFORMAT </w:instrText>
          </w:r>
          <w:r w:rsidR="00B10E8B">
            <w:rPr>
              <w:noProof/>
            </w:rPr>
            <w:fldChar w:fldCharType="separate"/>
          </w:r>
          <w:r w:rsidR="009928A6">
            <w:rPr>
              <w:noProof/>
            </w:rPr>
            <w:t>1</w:t>
          </w:r>
          <w:r w:rsidR="00B10E8B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7FE157CC" w14:textId="77777777" w:rsidTr="00FB3384">
      <w:tc>
        <w:tcPr>
          <w:tcW w:w="3319" w:type="dxa"/>
        </w:tcPr>
        <w:p w14:paraId="0F8E0F8D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57F757E2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46F353C4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6ABBB117" w14:textId="77777777" w:rsidTr="00FB3384">
      <w:tc>
        <w:tcPr>
          <w:tcW w:w="3319" w:type="dxa"/>
        </w:tcPr>
        <w:p w14:paraId="02F225E6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1EA4948A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2AE33D84" w14:textId="77777777" w:rsidR="00FB3384" w:rsidRDefault="00FB3384" w:rsidP="00BD0663">
          <w:pPr>
            <w:pStyle w:val="Sidfot"/>
            <w:jc w:val="right"/>
          </w:pPr>
        </w:p>
      </w:tc>
    </w:tr>
  </w:tbl>
  <w:p w14:paraId="3D85ABC7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B534BA" w14:textId="77777777" w:rsidR="00B10E8B" w:rsidRDefault="00B10E8B" w:rsidP="00BF282B">
      <w:pPr>
        <w:spacing w:after="0" w:line="240" w:lineRule="auto"/>
      </w:pPr>
      <w:r>
        <w:separator/>
      </w:r>
    </w:p>
  </w:footnote>
  <w:footnote w:type="continuationSeparator" w:id="0">
    <w:p w14:paraId="61716F93" w14:textId="77777777" w:rsidR="00B10E8B" w:rsidRDefault="00B10E8B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FB3B58" w14:paraId="7C1A32C3" w14:textId="77777777" w:rsidTr="00083B2E">
      <w:tc>
        <w:tcPr>
          <w:tcW w:w="5103" w:type="dxa"/>
          <w:tcBorders>
            <w:bottom w:val="nil"/>
          </w:tcBorders>
          <w:vAlign w:val="center"/>
        </w:tcPr>
        <w:p w14:paraId="752CCF8A" w14:textId="77777777" w:rsidR="00752CBB" w:rsidRDefault="001D32D6">
          <w:pPr>
            <w:pStyle w:val="Sidhuvud"/>
            <w:spacing w:after="100"/>
          </w:pPr>
          <w:sdt>
            <w:sdtPr>
              <w:id w:val="-491096506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B630A6">
                <w:t>Försäkrings AB Göta Lejon</w:t>
              </w:r>
            </w:sdtContent>
          </w:sdt>
        </w:p>
      </w:tc>
      <w:tc>
        <w:tcPr>
          <w:tcW w:w="3969" w:type="dxa"/>
          <w:tcBorders>
            <w:bottom w:val="nil"/>
          </w:tcBorders>
        </w:tcPr>
        <w:p w14:paraId="5322E0E2" w14:textId="77777777" w:rsidR="00FB3B58" w:rsidRDefault="000B6F6F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379BFBDD" wp14:editId="761A2207">
                <wp:extent cx="1441706" cy="481584"/>
                <wp:effectExtent l="0" t="0" r="8255" b="0"/>
                <wp:docPr id="1" name="Bildobjekt 1" descr="Göteborgs Stad logotyp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49BF23E6" w14:textId="77777777" w:rsidTr="00083B2E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141A5BED" w14:textId="77777777" w:rsidR="00FB3B58" w:rsidRDefault="001D32D6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52455AF4" w14:textId="77777777" w:rsidR="00FB3B58" w:rsidRDefault="001D32D6" w:rsidP="00FB3B58">
          <w:pPr>
            <w:pStyle w:val="Sidhuvud"/>
            <w:spacing w:after="100"/>
            <w:jc w:val="right"/>
          </w:pPr>
        </w:p>
      </w:tc>
    </w:tr>
  </w:tbl>
  <w:p w14:paraId="44D0FF8D" w14:textId="77777777" w:rsidR="00176AF5" w:rsidRDefault="001D32D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A23EC41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886474"/>
    <w:multiLevelType w:val="hybridMultilevel"/>
    <w:tmpl w:val="1AA6CA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71715"/>
    <w:multiLevelType w:val="hybridMultilevel"/>
    <w:tmpl w:val="7EB43C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B3558"/>
    <w:multiLevelType w:val="hybridMultilevel"/>
    <w:tmpl w:val="435A4A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8F16A5"/>
    <w:multiLevelType w:val="hybridMultilevel"/>
    <w:tmpl w:val="7E7E32F4"/>
    <w:lvl w:ilvl="0" w:tplc="947A9780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6D772F59"/>
    <w:multiLevelType w:val="hybridMultilevel"/>
    <w:tmpl w:val="5400D4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027F01"/>
    <w:multiLevelType w:val="multilevel"/>
    <w:tmpl w:val="37A658B2"/>
    <w:lvl w:ilvl="0">
      <w:start w:val="1"/>
      <w:numFmt w:val="decimal"/>
      <w:lvlText w:val="%1.0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3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06" w:hanging="1440"/>
      </w:pPr>
      <w:rPr>
        <w:rFonts w:hint="default"/>
      </w:rPr>
    </w:lvl>
  </w:abstractNum>
  <w:abstractNum w:abstractNumId="7" w15:restartNumberingAfterBreak="0">
    <w:nsid w:val="788F4CAD"/>
    <w:multiLevelType w:val="hybridMultilevel"/>
    <w:tmpl w:val="0658CF12"/>
    <w:lvl w:ilvl="0" w:tplc="B00400A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7A2072B5"/>
    <w:multiLevelType w:val="hybridMultilevel"/>
    <w:tmpl w:val="958A6B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B10E8B"/>
    <w:rsid w:val="000B6F6F"/>
    <w:rsid w:val="000C68BA"/>
    <w:rsid w:val="000C6B6F"/>
    <w:rsid w:val="000F2B85"/>
    <w:rsid w:val="0011061F"/>
    <w:rsid w:val="0011381D"/>
    <w:rsid w:val="00142FEF"/>
    <w:rsid w:val="00173F0C"/>
    <w:rsid w:val="001C2218"/>
    <w:rsid w:val="001D32D6"/>
    <w:rsid w:val="001D645F"/>
    <w:rsid w:val="001E57AC"/>
    <w:rsid w:val="00241F59"/>
    <w:rsid w:val="00257F49"/>
    <w:rsid w:val="002D09F7"/>
    <w:rsid w:val="003164EC"/>
    <w:rsid w:val="00323048"/>
    <w:rsid w:val="00332A7F"/>
    <w:rsid w:val="00350FEF"/>
    <w:rsid w:val="00367A9F"/>
    <w:rsid w:val="00367F49"/>
    <w:rsid w:val="00372CB4"/>
    <w:rsid w:val="00414E79"/>
    <w:rsid w:val="00440D30"/>
    <w:rsid w:val="00473C11"/>
    <w:rsid w:val="004A5252"/>
    <w:rsid w:val="004B287C"/>
    <w:rsid w:val="004C0571"/>
    <w:rsid w:val="004C78B0"/>
    <w:rsid w:val="00521790"/>
    <w:rsid w:val="005729A0"/>
    <w:rsid w:val="00597ACB"/>
    <w:rsid w:val="005E6622"/>
    <w:rsid w:val="005F5390"/>
    <w:rsid w:val="00607F19"/>
    <w:rsid w:val="00613965"/>
    <w:rsid w:val="00623D4E"/>
    <w:rsid w:val="00631C23"/>
    <w:rsid w:val="006411A3"/>
    <w:rsid w:val="006772D2"/>
    <w:rsid w:val="00690A7F"/>
    <w:rsid w:val="006E3041"/>
    <w:rsid w:val="00720B05"/>
    <w:rsid w:val="00742AE2"/>
    <w:rsid w:val="007517BE"/>
    <w:rsid w:val="00752CBB"/>
    <w:rsid w:val="00766929"/>
    <w:rsid w:val="00770200"/>
    <w:rsid w:val="007A0E1C"/>
    <w:rsid w:val="007A7F8D"/>
    <w:rsid w:val="007B7749"/>
    <w:rsid w:val="007D06E0"/>
    <w:rsid w:val="00807EF8"/>
    <w:rsid w:val="00831E91"/>
    <w:rsid w:val="0087328B"/>
    <w:rsid w:val="008760F6"/>
    <w:rsid w:val="008E56C2"/>
    <w:rsid w:val="009433F3"/>
    <w:rsid w:val="009624D4"/>
    <w:rsid w:val="00985ACB"/>
    <w:rsid w:val="00986A1D"/>
    <w:rsid w:val="009928A6"/>
    <w:rsid w:val="009B4E2A"/>
    <w:rsid w:val="009D4D5C"/>
    <w:rsid w:val="00A074B5"/>
    <w:rsid w:val="00A345C1"/>
    <w:rsid w:val="00A3668C"/>
    <w:rsid w:val="00A47AD9"/>
    <w:rsid w:val="00A8112E"/>
    <w:rsid w:val="00AA0284"/>
    <w:rsid w:val="00AE5147"/>
    <w:rsid w:val="00AE5F41"/>
    <w:rsid w:val="00B07283"/>
    <w:rsid w:val="00B10E8B"/>
    <w:rsid w:val="00B23AEF"/>
    <w:rsid w:val="00B456FF"/>
    <w:rsid w:val="00B630A6"/>
    <w:rsid w:val="00B63E0E"/>
    <w:rsid w:val="00BA1320"/>
    <w:rsid w:val="00BD0663"/>
    <w:rsid w:val="00BF1EC3"/>
    <w:rsid w:val="00BF282B"/>
    <w:rsid w:val="00C0363D"/>
    <w:rsid w:val="00C10045"/>
    <w:rsid w:val="00C85A21"/>
    <w:rsid w:val="00CD65E8"/>
    <w:rsid w:val="00D21D96"/>
    <w:rsid w:val="00D22966"/>
    <w:rsid w:val="00D731D2"/>
    <w:rsid w:val="00DA76F6"/>
    <w:rsid w:val="00DC59E4"/>
    <w:rsid w:val="00DC5A8E"/>
    <w:rsid w:val="00DC6E79"/>
    <w:rsid w:val="00DF152D"/>
    <w:rsid w:val="00E11731"/>
    <w:rsid w:val="00EF388D"/>
    <w:rsid w:val="00F4117C"/>
    <w:rsid w:val="00F57801"/>
    <w:rsid w:val="00F66187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B7C8878"/>
  <w15:docId w15:val="{4E0088D1-CE07-4E57-BE2C-3A8C9DB35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E8B"/>
    <w:pPr>
      <w:spacing w:after="200" w:line="276" w:lineRule="auto"/>
    </w:pPr>
    <w:rPr>
      <w:rFonts w:eastAsiaTheme="minorHAnsi" w:cstheme="minorHAnsi"/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A8112E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7E6E6" w:themeFill="background2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173F0C"/>
    <w:pPr>
      <w:pBdr>
        <w:top w:val="single" w:sz="4" w:space="6" w:color="F2B700" w:themeColor="accent6"/>
        <w:left w:val="single" w:sz="4" w:space="6" w:color="F2B700" w:themeColor="accent6"/>
        <w:bottom w:val="single" w:sz="4" w:space="6" w:color="F2B700" w:themeColor="accent6"/>
        <w:right w:val="single" w:sz="4" w:space="6" w:color="F2B700" w:themeColor="accent6"/>
      </w:pBdr>
      <w:shd w:val="clear" w:color="auto" w:fill="FFE493" w:themeFill="accent6" w:themeFillTint="66"/>
      <w:spacing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Rubrik1-svart">
    <w:name w:val="Rubrik 1 - svart"/>
    <w:basedOn w:val="Normal"/>
    <w:link w:val="Rubrik1-svartChar"/>
    <w:qFormat/>
    <w:rsid w:val="00B10E8B"/>
    <w:pPr>
      <w:widowControl w:val="0"/>
      <w:autoSpaceDE w:val="0"/>
      <w:autoSpaceDN w:val="0"/>
      <w:adjustRightInd w:val="0"/>
      <w:spacing w:after="0" w:line="240" w:lineRule="auto"/>
      <w:textAlignment w:val="center"/>
    </w:pPr>
    <w:rPr>
      <w:rFonts w:ascii="Arial" w:eastAsiaTheme="minorEastAsia" w:hAnsi="Arial" w:cs="Arial"/>
      <w:b/>
      <w:bCs/>
      <w:color w:val="000000" w:themeColor="text1"/>
      <w:spacing w:val="15"/>
      <w:sz w:val="146"/>
      <w:szCs w:val="146"/>
      <w:lang w:eastAsia="sv-SE"/>
    </w:rPr>
  </w:style>
  <w:style w:type="character" w:customStyle="1" w:styleId="Rubrik1-svartChar">
    <w:name w:val="Rubrik 1 - svart Char"/>
    <w:basedOn w:val="Standardstycketeckensnitt"/>
    <w:link w:val="Rubrik1-svart"/>
    <w:rsid w:val="00B10E8B"/>
    <w:rPr>
      <w:rFonts w:ascii="Arial" w:hAnsi="Arial" w:cs="Arial"/>
      <w:b/>
      <w:bCs/>
      <w:color w:val="000000" w:themeColor="text1"/>
      <w:spacing w:val="15"/>
      <w:sz w:val="146"/>
      <w:szCs w:val="146"/>
      <w:lang w:eastAsia="sv-SE"/>
    </w:rPr>
  </w:style>
  <w:style w:type="paragraph" w:styleId="Liststycke">
    <w:name w:val="List Paragraph"/>
    <w:basedOn w:val="Normal"/>
    <w:uiPriority w:val="34"/>
    <w:qFormat/>
    <w:rsid w:val="00B10E8B"/>
    <w:pPr>
      <w:ind w:left="720"/>
      <w:contextualSpacing/>
    </w:pPr>
    <w:rPr>
      <w:rFonts w:cstheme="minorBidi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23AE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23AE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23AEF"/>
    <w:rPr>
      <w:rFonts w:eastAsiaTheme="minorHAnsi" w:cstheme="minorHAnsi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23AE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23AEF"/>
    <w:rPr>
      <w:rFonts w:eastAsiaTheme="minorHAnsi" w:cstheme="minorHAnsi"/>
      <w:b/>
      <w:bCs/>
      <w:sz w:val="20"/>
      <w:szCs w:val="20"/>
    </w:rPr>
  </w:style>
  <w:style w:type="paragraph" w:styleId="Punktlista">
    <w:name w:val="List Bullet"/>
    <w:basedOn w:val="Normal"/>
    <w:link w:val="PunktlistaChar"/>
    <w:rsid w:val="007B7749"/>
    <w:pPr>
      <w:numPr>
        <w:numId w:val="6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unktlistaChar">
    <w:name w:val="Punktlista Char"/>
    <w:basedOn w:val="Standardstycketeckensnitt"/>
    <w:link w:val="Punktlista"/>
    <w:rsid w:val="007B774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kaj0316\AppData\Local\Packages\Microsoft.MicrosoftEdge_8wekyb3d8bbwe\TempState\Downloads\Dokumentmall+G&#246;ta+Lejon.dotx" TargetMode="External"/></Relationships>
</file>

<file path=word/theme/theme1.xml><?xml version="1.0" encoding="utf-8"?>
<a:theme xmlns:a="http://schemas.openxmlformats.org/drawingml/2006/main" name="Office-tema">
  <a:themeElements>
    <a:clrScheme name="Göteborgs Stad Office">
      <a:dk1>
        <a:sysClr val="windowText" lastClr="000000"/>
      </a:dk1>
      <a:lt1>
        <a:sysClr val="window" lastClr="FFFFFF"/>
      </a:lt1>
      <a:dk2>
        <a:srgbClr val="0077BC"/>
      </a:dk2>
      <a:lt2>
        <a:srgbClr val="E7E6E6"/>
      </a:lt2>
      <a:accent1>
        <a:srgbClr val="DE0069"/>
      </a:accent1>
      <a:accent2>
        <a:srgbClr val="52AA50"/>
      </a:accent2>
      <a:accent3>
        <a:srgbClr val="F18700"/>
      </a:accent3>
      <a:accent4>
        <a:srgbClr val="B45693"/>
      </a:accent4>
      <a:accent5>
        <a:srgbClr val="88CDD0"/>
      </a:accent5>
      <a:accent6>
        <a:srgbClr val="F2B700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Dokumentmall+Göta+Lejon.dotx</Template>
  <TotalTime>0</TotalTime>
  <Pages>4</Pages>
  <Words>700</Words>
  <Characters>4809</Characters>
  <Application>Microsoft Office Word</Application>
  <DocSecurity>0</DocSecurity>
  <Lines>155</Lines>
  <Paragraphs>50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Rutin för hantering av e-post</vt:lpstr>
    </vt:vector>
  </TitlesOfParts>
  <Company>Försäkrings AB Göta Lejon</Company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Rutin för hantering av e-post</dc:title>
  <dc:subject/>
  <dc:creator>katkaj0316</dc:creator>
  <dc:description/>
  <cp:lastModifiedBy>Katrin Gundersen</cp:lastModifiedBy>
  <cp:revision>3</cp:revision>
  <cp:lastPrinted>2017-01-05T15:29:00Z</cp:lastPrinted>
  <dcterms:created xsi:type="dcterms:W3CDTF">2021-05-24T12:28:00Z</dcterms:created>
  <dcterms:modified xsi:type="dcterms:W3CDTF">2021-05-24T12:36:00Z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2F4ED6C488C5449DC12586DF00448C0B</vt:lpwstr>
  </property>
  <property fmtid="{D5CDD505-2E9C-101B-9397-08002B2CF9AE}" pid="6" name="SW_DocHWND">
    <vt:r8>4459448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CN=Websrv5/OU=Webservice/O=Göteborgs Kommun</vt:lpwstr>
  </property>
  <property fmtid="{D5CDD505-2E9C-101B-9397-08002B2CF9AE}" pid="16" name="SW_DocumentDB">
    <vt:lpwstr>prod\gotalejon\LIS\Verksamhetshandbok\GLverkhbok.nsf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</Properties>
</file>