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color="auto" w:sz="0" w:space="0"/>
          <w:left w:val="none" w:color="auto" w:sz="0" w:space="0"/>
          <w:bottom w:val="single" w:color="4D4D4D" w:sz="4" w:space="0"/>
          <w:right w:val="none" w:color="auto" w:sz="0" w:space="0"/>
          <w:insideH w:val="none" w:color="auto" w:sz="0" w:space="0"/>
          <w:insideV w:val="none" w:color="auto" w:sz="0" w:space="0"/>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rsidTr="009D765D" w14:paraId="0EC8A16F" w14:textId="77777777">
        <w:tc>
          <w:tcPr>
            <w:tcW w:w="5103" w:type="dxa"/>
            <w:tcBorders>
              <w:bottom w:val="nil"/>
            </w:tcBorders>
            <w:vAlign w:val="center"/>
          </w:tcPr>
          <w:p w:rsidR="00770200" w:rsidP="00AA4EE3" w:rsidRDefault="00770200" w14:paraId="491FDA75" w14:textId="77777777">
            <w:pPr>
              <w:pStyle w:val="Sidhuvud"/>
              <w:jc w:val="right"/>
            </w:pPr>
          </w:p>
        </w:tc>
        <w:tc>
          <w:tcPr>
            <w:tcW w:w="3969" w:type="dxa"/>
            <w:tcBorders>
              <w:bottom w:val="nil"/>
            </w:tcBorders>
          </w:tcPr>
          <w:p w:rsidR="00770200" w:rsidP="00945E7C" w:rsidRDefault="00770200" w14:paraId="660CA952" w14:textId="77777777">
            <w:pPr>
              <w:pStyle w:val="Sidhuvud"/>
              <w:jc w:val="right"/>
            </w:pPr>
          </w:p>
        </w:tc>
      </w:tr>
      <w:tr w:rsidR="00770200" w:rsidTr="009D765D" w14:paraId="373461DC" w14:textId="77777777">
        <w:tc>
          <w:tcPr>
            <w:tcW w:w="5103" w:type="dxa"/>
            <w:tcBorders>
              <w:top w:val="nil"/>
              <w:bottom w:val="nil"/>
            </w:tcBorders>
            <w:shd w:val="clear" w:color="auto" w:fill="auto"/>
          </w:tcPr>
          <w:p w:rsidRPr="00CF287A" w:rsidR="00770200" w:rsidP="00945E7C" w:rsidRDefault="00770200" w14:paraId="41E5CF5A" w14:textId="77777777">
            <w:pPr>
              <w:pStyle w:val="Sidhuvud"/>
              <w:rPr>
                <w:highlight w:val="yellow"/>
              </w:rPr>
            </w:pPr>
          </w:p>
        </w:tc>
        <w:tc>
          <w:tcPr>
            <w:tcW w:w="3969" w:type="dxa"/>
            <w:tcBorders>
              <w:bottom w:val="nil"/>
            </w:tcBorders>
            <w:shd w:val="clear" w:color="auto" w:fill="auto"/>
          </w:tcPr>
          <w:p w:rsidR="00770200" w:rsidP="00945E7C" w:rsidRDefault="00770200" w14:paraId="28509A18" w14:textId="77777777">
            <w:pPr>
              <w:pStyle w:val="Sidhuvud"/>
              <w:jc w:val="right"/>
            </w:pPr>
          </w:p>
        </w:tc>
      </w:tr>
      <w:tr w:rsidR="000707CC" w:rsidTr="009D765D" w14:paraId="77E4A32A" w14:textId="77777777">
        <w:tc>
          <w:tcPr>
            <w:tcW w:w="5103" w:type="dxa"/>
            <w:tcBorders>
              <w:top w:val="nil"/>
              <w:bottom w:val="nil"/>
            </w:tcBorders>
            <w:shd w:val="clear" w:color="auto" w:fill="auto"/>
          </w:tcPr>
          <w:p w:rsidRPr="00CF287A" w:rsidR="000707CC" w:rsidP="000707CC" w:rsidRDefault="000707CC" w14:paraId="6F9B1846" w14:textId="77777777">
            <w:pPr>
              <w:pStyle w:val="Sidhuvud"/>
              <w:spacing w:after="160" w:afterAutospacing="0"/>
              <w:rPr>
                <w:highlight w:val="yellow"/>
              </w:rPr>
            </w:pPr>
          </w:p>
        </w:tc>
        <w:tc>
          <w:tcPr>
            <w:tcW w:w="3969" w:type="dxa"/>
            <w:tcBorders>
              <w:top w:val="nil"/>
              <w:bottom w:val="nil"/>
            </w:tcBorders>
            <w:shd w:val="clear" w:color="auto" w:fill="auto"/>
          </w:tcPr>
          <w:p w:rsidR="000707CC" w:rsidP="00945E7C" w:rsidRDefault="000707CC" w14:paraId="2BFF3017" w14:textId="77777777">
            <w:pPr>
              <w:pStyle w:val="Sidhuvud"/>
              <w:jc w:val="right"/>
            </w:pPr>
          </w:p>
        </w:tc>
      </w:tr>
    </w:tbl>
    <w:tbl>
      <w:tblPr>
        <w:tblStyle w:val="Tabellrutnt"/>
        <w:tblpPr w:leftFromText="142" w:rightFromText="142" w:vertAnchor="text" w:horzAnchor="page" w:tblpX="1419" w:tblpY="1"/>
        <w:tblOverlap w:val="never"/>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Caption w:val="Organisationsnamn och Göteborgs Stads logotyp"/>
      </w:tblPr>
      <w:tblGrid>
        <w:gridCol w:w="9510"/>
        <w:gridCol w:w="6"/>
      </w:tblGrid>
      <w:tr w:rsidRPr="006F5D19" w:rsidR="000707CC" w:rsidTr="000707CC" w14:paraId="135DE826" w14:textId="77777777">
        <w:trPr>
          <w:cnfStyle w:val="100000000000" w:firstRow="1" w:lastRow="0" w:firstColumn="0" w:lastColumn="0" w:oddVBand="0" w:evenVBand="0" w:oddHBand="0" w:evenHBand="0" w:firstRowFirstColumn="0" w:firstRowLastColumn="0" w:lastRowFirstColumn="0" w:lastRowLastColumn="0"/>
          <w:trHeight w:val="1270"/>
          <w:tblHeader w:val="0"/>
        </w:trPr>
        <w:tc>
          <w:tcPr>
            <w:tcW w:w="3686" w:type="dxa"/>
            <w:shd w:val="clear" w:color="auto" w:fill="auto"/>
          </w:tcPr>
          <w:tbl>
            <w:tblPr>
              <w:tblStyle w:val="Tabellrutnt"/>
              <w:tblW w:w="9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00" w:firstRow="0" w:lastRow="0" w:firstColumn="0" w:lastColumn="0" w:noHBand="0" w:noVBand="1"/>
            </w:tblPr>
            <w:tblGrid>
              <w:gridCol w:w="9288"/>
              <w:gridCol w:w="222"/>
            </w:tblGrid>
            <w:tr w:rsidRPr="006F5D19" w:rsidR="009D765D" w:rsidTr="001E56ED" w14:paraId="029CAFC4" w14:textId="77777777">
              <w:trPr>
                <w:trHeight w:val="500"/>
              </w:trPr>
              <w:tc>
                <w:tcPr>
                  <w:tcW w:w="9288" w:type="dxa"/>
                </w:tcPr>
                <w:tbl>
                  <w:tblPr>
                    <w:tblStyle w:val="Tabellrutnt"/>
                    <w:tblpPr w:leftFromText="142" w:rightFromText="142" w:vertAnchor="text" w:horzAnchor="page" w:tblpX="1419" w:tblpY="1"/>
                    <w:tblOverlap w:val="never"/>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Pr="006F5D19" w:rsidR="002241FC" w:rsidTr="00C407B2" w14:paraId="05E05F45" w14:textId="77777777">
                    <w:trPr>
                      <w:cnfStyle w:val="100000000000" w:firstRow="1" w:lastRow="0" w:firstColumn="0" w:lastColumn="0" w:oddVBand="0" w:evenVBand="0" w:oddHBand="0" w:evenHBand="0" w:firstRowFirstColumn="0" w:firstRowLastColumn="0" w:lastRowFirstColumn="0" w:lastRowLastColumn="0"/>
                      <w:trHeight w:val="1270"/>
                      <w:tblHeader w:val="0"/>
                    </w:trPr>
                    <w:tc>
                      <w:tcPr>
                        <w:tcW w:w="3686" w:type="dxa"/>
                        <w:shd w:val="clear" w:color="auto" w:fill="auto"/>
                      </w:tcPr>
                      <w:p w:rsidRPr="00AD0927" w:rsidR="00AA4EE3" w:rsidP="00AA4EE3" w:rsidRDefault="002241FC" w14:paraId="693B8A78" w14:textId="70CD5885">
                        <w:pPr>
                          <w:spacing w:after="0" w:line="240" w:lineRule="auto"/>
                          <w:textAlignment w:val="baseline"/>
                          <w:rPr>
                            <w:rFonts w:ascii="Palatino Linotype" w:hAnsi="Palatino Linotype" w:eastAsia="Times New Roman" w:cs="Times New Roman"/>
                            <w:sz w:val="20"/>
                            <w:szCs w:val="20"/>
                            <w:lang w:val="de-DE" w:eastAsia="sv-SE"/>
                          </w:rPr>
                        </w:pPr>
                        <w:r w:rsidRPr="002241FC">
                          <w:rPr>
                            <w:rFonts w:ascii="Palatino Linotype" w:hAnsi="Palatino Linotype"/>
                            <w:sz w:val="20"/>
                            <w:szCs w:val="22"/>
                          </w:rPr>
                          <w:t>Beslutsunderlag</w:t>
                        </w:r>
                        <w:r w:rsidRPr="00AD0927" w:rsidR="00AA4EE3">
                          <w:rPr>
                            <w:rFonts w:ascii="Palatino Linotype" w:hAnsi="Palatino Linotype" w:eastAsia="Times New Roman" w:cs="Times New Roman"/>
                            <w:sz w:val="20"/>
                            <w:szCs w:val="20"/>
                            <w:lang w:eastAsia="sv-SE"/>
                          </w:rPr>
                          <w:t xml:space="preserve"> </w:t>
                        </w:r>
                        <w:r w:rsidR="00AA4EE3">
                          <w:rPr>
                            <w:rFonts w:ascii="Palatino Linotype" w:hAnsi="Palatino Linotype" w:eastAsia="Times New Roman" w:cs="Times New Roman"/>
                            <w:sz w:val="20"/>
                            <w:szCs w:val="20"/>
                            <w:lang w:eastAsia="sv-SE"/>
                          </w:rPr>
                          <w:br/>
                        </w:r>
                        <w:r w:rsidRPr="00AA4EE3" w:rsidR="00AA4EE3">
                          <w:rPr>
                            <w:rFonts w:ascii="Palatino Linotype" w:hAnsi="Palatino Linotype" w:eastAsia="Times New Roman" w:cs="Times New Roman"/>
                            <w:b w:val="0"/>
                            <w:bCs/>
                            <w:sz w:val="20"/>
                            <w:szCs w:val="20"/>
                            <w:lang w:eastAsia="sv-SE"/>
                          </w:rPr>
                          <w:t>Styrelsen 2022-02-10</w:t>
                        </w:r>
                        <w:r w:rsidR="00AA4EE3">
                          <w:rPr>
                            <w:rFonts w:ascii="Palatino Linotype" w:hAnsi="Palatino Linotype" w:eastAsia="Times New Roman" w:cs="Times New Roman"/>
                            <w:sz w:val="20"/>
                            <w:szCs w:val="20"/>
                            <w:lang w:eastAsia="sv-SE"/>
                          </w:rPr>
                          <w:br/>
                        </w:r>
                        <w:proofErr w:type="spellStart"/>
                        <w:r w:rsidRPr="00AA4EE3" w:rsidR="00AA4EE3">
                          <w:rPr>
                            <w:rFonts w:ascii="Palatino Linotype" w:hAnsi="Palatino Linotype" w:eastAsia="Times New Roman" w:cs="Times New Roman"/>
                            <w:b w:val="0"/>
                            <w:bCs/>
                            <w:sz w:val="20"/>
                            <w:szCs w:val="20"/>
                            <w:lang w:val="de-DE" w:eastAsia="sv-SE"/>
                          </w:rPr>
                          <w:t>Diarienummer</w:t>
                        </w:r>
                        <w:proofErr w:type="spellEnd"/>
                        <w:r w:rsidRPr="00AA4EE3" w:rsidR="00AA4EE3">
                          <w:rPr>
                            <w:rFonts w:ascii="Palatino Linotype" w:hAnsi="Palatino Linotype" w:eastAsia="Times New Roman" w:cs="Times New Roman"/>
                            <w:b w:val="0"/>
                            <w:bCs/>
                            <w:sz w:val="20"/>
                            <w:szCs w:val="20"/>
                            <w:lang w:val="de-DE" w:eastAsia="sv-SE"/>
                          </w:rPr>
                          <w:t xml:space="preserve"> 1379/21</w:t>
                        </w:r>
                      </w:p>
                      <w:p w:rsidRPr="00AD0927" w:rsidR="00AA4EE3" w:rsidP="00AA4EE3" w:rsidRDefault="00AA4EE3" w14:paraId="51979B7D" w14:textId="2C3C18C7">
                        <w:pPr>
                          <w:spacing w:after="0" w:line="240" w:lineRule="auto"/>
                          <w:textAlignment w:val="baseline"/>
                          <w:rPr>
                            <w:rFonts w:ascii="Times New Roman" w:hAnsi="Times New Roman" w:eastAsia="Times New Roman" w:cs="Times New Roman"/>
                            <w:b w:val="0"/>
                            <w:bCs/>
                            <w:sz w:val="24"/>
                            <w:lang w:eastAsia="sv-SE"/>
                          </w:rPr>
                        </w:pPr>
                      </w:p>
                      <w:p w:rsidRPr="002241FC" w:rsidR="002241FC" w:rsidP="00BC3912" w:rsidRDefault="002241FC" w14:paraId="19548709" w14:textId="4034DB55">
                        <w:pPr>
                          <w:pStyle w:val="Dokumentinfo"/>
                          <w:rPr>
                            <w:rFonts w:ascii="Palatino Linotype" w:hAnsi="Palatino Linotype"/>
                            <w:sz w:val="20"/>
                            <w:szCs w:val="22"/>
                          </w:rPr>
                        </w:pPr>
                      </w:p>
                      <w:p w:rsidRPr="002241FC" w:rsidR="002241FC" w:rsidP="00AA4EE3" w:rsidRDefault="002241FC" w14:paraId="33311446" w14:textId="77777777">
                        <w:pPr>
                          <w:spacing w:after="0" w:line="240" w:lineRule="auto"/>
                          <w:textAlignment w:val="baseline"/>
                          <w:rPr>
                            <w:rFonts w:ascii="Palatino Linotype" w:hAnsi="Palatino Linotype"/>
                            <w:b w:val="0"/>
                            <w:sz w:val="20"/>
                            <w:szCs w:val="22"/>
                          </w:rPr>
                        </w:pPr>
                      </w:p>
                    </w:tc>
                    <w:tc>
                      <w:tcPr>
                        <w:tcW w:w="5386" w:type="dxa"/>
                        <w:shd w:val="clear" w:color="auto" w:fill="auto"/>
                      </w:tcPr>
                      <w:p w:rsidRPr="002241FC" w:rsidR="002241FC" w:rsidP="00BC3912" w:rsidRDefault="002241FC" w14:paraId="7CE39C8A" w14:textId="0A2DF683">
                        <w:pPr>
                          <w:pStyle w:val="Dokumentinfo"/>
                          <w:rPr>
                            <w:rFonts w:ascii="Palatino Linotype" w:hAnsi="Palatino Linotype"/>
                            <w:b w:val="0"/>
                            <w:sz w:val="20"/>
                            <w:szCs w:val="22"/>
                          </w:rPr>
                        </w:pPr>
                        <w:r w:rsidRPr="002241FC">
                          <w:rPr>
                            <w:rFonts w:ascii="Palatino Linotype" w:hAnsi="Palatino Linotype"/>
                            <w:b w:val="0"/>
                            <w:sz w:val="20"/>
                            <w:szCs w:val="22"/>
                          </w:rPr>
                          <w:t xml:space="preserve">Handläggare: </w:t>
                        </w:r>
                        <w:r w:rsidR="00AA4EE3">
                          <w:rPr>
                            <w:rFonts w:ascii="Palatino Linotype" w:hAnsi="Palatino Linotype" w:eastAsia="Times New Roman" w:cs="Times New Roman"/>
                            <w:sz w:val="20"/>
                            <w:szCs w:val="20"/>
                            <w:lang w:eastAsia="sv-SE"/>
                          </w:rPr>
                          <w:t xml:space="preserve"> </w:t>
                        </w:r>
                        <w:r w:rsidRPr="00AA4EE3" w:rsidR="00AA4EE3">
                          <w:rPr>
                            <w:rFonts w:ascii="Palatino Linotype" w:hAnsi="Palatino Linotype" w:eastAsia="Times New Roman" w:cs="Times New Roman"/>
                            <w:b w:val="0"/>
                            <w:bCs/>
                            <w:sz w:val="20"/>
                            <w:szCs w:val="20"/>
                            <w:lang w:eastAsia="sv-SE"/>
                          </w:rPr>
                          <w:t>Rasmus Heyman, Gruppchef Kulturella &amp; Kreativa Näringar, Kluster &amp; Innovation</w:t>
                        </w:r>
                      </w:p>
                      <w:p w:rsidRPr="00AA4EE3" w:rsidR="002241FC" w:rsidP="00BC3912" w:rsidRDefault="002241FC" w14:paraId="42F9558A" w14:textId="281F9223">
                        <w:pPr>
                          <w:pStyle w:val="Dokumentinfo"/>
                          <w:rPr>
                            <w:rFonts w:ascii="Palatino Linotype" w:hAnsi="Palatino Linotype"/>
                            <w:b w:val="0"/>
                            <w:sz w:val="20"/>
                            <w:szCs w:val="22"/>
                            <w:lang w:val="de-DE"/>
                          </w:rPr>
                        </w:pPr>
                        <w:r w:rsidRPr="00AA4EE3">
                          <w:rPr>
                            <w:rFonts w:ascii="Palatino Linotype" w:hAnsi="Palatino Linotype"/>
                            <w:b w:val="0"/>
                            <w:sz w:val="20"/>
                            <w:szCs w:val="22"/>
                            <w:lang w:val="de-DE"/>
                          </w:rPr>
                          <w:t>Telefon:</w:t>
                        </w:r>
                        <w:r w:rsidRPr="00AA4EE3" w:rsidR="00AA4EE3">
                          <w:rPr>
                            <w:rFonts w:ascii="Palatino Linotype" w:hAnsi="Palatino Linotype"/>
                            <w:b w:val="0"/>
                            <w:sz w:val="20"/>
                            <w:szCs w:val="22"/>
                            <w:lang w:val="de-DE"/>
                          </w:rPr>
                          <w:t xml:space="preserve"> </w:t>
                        </w:r>
                        <w:r w:rsidRPr="00AA4EE3" w:rsidR="00AA4EE3">
                          <w:rPr>
                            <w:rFonts w:ascii="Palatino Linotype" w:hAnsi="Palatino Linotype" w:eastAsia="Times New Roman" w:cs="Times New Roman"/>
                            <w:b w:val="0"/>
                            <w:bCs/>
                            <w:sz w:val="20"/>
                            <w:szCs w:val="20"/>
                            <w:lang w:val="de-DE" w:eastAsia="sv-SE"/>
                          </w:rPr>
                          <w:t>0730-610779</w:t>
                        </w:r>
                        <w:r w:rsidRPr="00AD0927" w:rsidR="00AA4EE3">
                          <w:rPr>
                            <w:rFonts w:ascii="Palatino Linotype" w:hAnsi="Palatino Linotype" w:eastAsia="Times New Roman" w:cs="Times New Roman"/>
                            <w:bCs/>
                            <w:sz w:val="20"/>
                            <w:szCs w:val="20"/>
                            <w:lang w:val="de-DE" w:eastAsia="sv-SE"/>
                          </w:rPr>
                          <w:t> </w:t>
                        </w:r>
                      </w:p>
                      <w:p w:rsidRPr="00AA4EE3" w:rsidR="002241FC" w:rsidP="00BC3912" w:rsidRDefault="002241FC" w14:paraId="72536F43" w14:textId="17FED2D4">
                        <w:pPr>
                          <w:pStyle w:val="Dokumentinfo"/>
                          <w:rPr>
                            <w:rFonts w:ascii="Palatino Linotype" w:hAnsi="Palatino Linotype"/>
                            <w:b w:val="0"/>
                            <w:sz w:val="20"/>
                            <w:szCs w:val="22"/>
                            <w:lang w:val="de-DE"/>
                          </w:rPr>
                        </w:pPr>
                        <w:r w:rsidRPr="00AA4EE3">
                          <w:rPr>
                            <w:rFonts w:ascii="Palatino Linotype" w:hAnsi="Palatino Linotype"/>
                            <w:b w:val="0"/>
                            <w:sz w:val="20"/>
                            <w:szCs w:val="22"/>
                            <w:lang w:val="de-DE"/>
                          </w:rPr>
                          <w:t xml:space="preserve">E-post: </w:t>
                        </w:r>
                        <w:r w:rsidR="00AA4EE3">
                          <w:rPr>
                            <w:rFonts w:ascii="Palatino Linotype" w:hAnsi="Palatino Linotype" w:eastAsia="Times New Roman" w:cs="Times New Roman"/>
                            <w:sz w:val="20"/>
                            <w:szCs w:val="20"/>
                            <w:lang w:val="de-DE" w:eastAsia="sv-SE"/>
                          </w:rPr>
                          <w:t xml:space="preserve"> </w:t>
                        </w:r>
                        <w:r w:rsidRPr="00AA4EE3" w:rsidR="00AA4EE3">
                          <w:rPr>
                            <w:rFonts w:ascii="Palatino Linotype" w:hAnsi="Palatino Linotype" w:eastAsia="Times New Roman" w:cs="Times New Roman"/>
                            <w:b w:val="0"/>
                            <w:bCs/>
                            <w:sz w:val="20"/>
                            <w:szCs w:val="20"/>
                            <w:lang w:val="de-DE" w:eastAsia="sv-SE"/>
                          </w:rPr>
                          <w:t>rasmus.heyman@businessregion.se</w:t>
                        </w:r>
                        <w:r w:rsidRPr="00AD0927" w:rsidR="00AA4EE3">
                          <w:rPr>
                            <w:rFonts w:ascii="Palatino Linotype" w:hAnsi="Palatino Linotype" w:eastAsia="Times New Roman" w:cs="Times New Roman"/>
                            <w:bCs/>
                            <w:sz w:val="20"/>
                            <w:szCs w:val="20"/>
                            <w:lang w:val="de-DE" w:eastAsia="sv-SE"/>
                          </w:rPr>
                          <w:t> </w:t>
                        </w:r>
                      </w:p>
                    </w:tc>
                  </w:tr>
                </w:tbl>
                <w:p w:rsidRPr="00AA4EE3" w:rsidR="009D765D" w:rsidP="00BC3912" w:rsidRDefault="009D765D" w14:paraId="0BB38C59" w14:textId="77777777">
                  <w:pPr>
                    <w:pStyle w:val="Dokumentinfo"/>
                    <w:framePr w:hSpace="142" w:wrap="around" w:hAnchor="page" w:vAnchor="text" w:x="1419" w:y="1"/>
                    <w:suppressOverlap/>
                    <w:rPr>
                      <w:rFonts w:ascii="Palatino Linotype" w:hAnsi="Palatino Linotype"/>
                      <w:sz w:val="18"/>
                      <w:szCs w:val="20"/>
                      <w:lang w:val="de-DE"/>
                    </w:rPr>
                  </w:pPr>
                </w:p>
              </w:tc>
              <w:tc>
                <w:tcPr>
                  <w:tcW w:w="222" w:type="dxa"/>
                </w:tcPr>
                <w:p w:rsidRPr="00AA4EE3" w:rsidR="009D765D" w:rsidP="00BC3912" w:rsidRDefault="009D765D" w14:paraId="021BE13E" w14:textId="77777777">
                  <w:pPr>
                    <w:pStyle w:val="Dokumentinfo"/>
                    <w:framePr w:hSpace="142" w:wrap="around" w:hAnchor="page" w:vAnchor="text" w:x="1419" w:y="1"/>
                    <w:suppressOverlap/>
                    <w:rPr>
                      <w:rFonts w:ascii="Palatino Linotype" w:hAnsi="Palatino Linotype"/>
                      <w:b/>
                      <w:sz w:val="18"/>
                      <w:szCs w:val="20"/>
                      <w:lang w:val="de-DE"/>
                    </w:rPr>
                  </w:pPr>
                </w:p>
              </w:tc>
            </w:tr>
            <w:tr w:rsidRPr="006F5D19" w:rsidR="009D765D" w:rsidTr="001E56ED" w14:paraId="0B102E7B" w14:textId="77777777">
              <w:tc>
                <w:tcPr>
                  <w:tcW w:w="9288" w:type="dxa"/>
                </w:tcPr>
                <w:p w:rsidRPr="00AA4EE3" w:rsidR="009D765D" w:rsidP="006F5D19" w:rsidRDefault="009D765D" w14:paraId="500F9413" w14:textId="77777777">
                  <w:pPr>
                    <w:pStyle w:val="Dokumentinfo"/>
                    <w:framePr w:hSpace="142" w:wrap="around" w:hAnchor="page" w:vAnchor="text" w:x="1419" w:y="1"/>
                    <w:suppressOverlap/>
                    <w:rPr>
                      <w:rFonts w:ascii="Palatino Linotype" w:hAnsi="Palatino Linotype"/>
                      <w:b/>
                      <w:sz w:val="18"/>
                      <w:szCs w:val="20"/>
                      <w:lang w:val="de-DE"/>
                    </w:rPr>
                  </w:pPr>
                  <w:bookmarkStart w:name="_Toc478651876" w:id="0"/>
                </w:p>
              </w:tc>
              <w:tc>
                <w:tcPr>
                  <w:tcW w:w="222" w:type="dxa"/>
                </w:tcPr>
                <w:p w:rsidRPr="00AA4EE3" w:rsidR="009D765D" w:rsidP="006F5D19" w:rsidRDefault="009D765D" w14:paraId="00B06B47" w14:textId="77777777">
                  <w:pPr>
                    <w:pStyle w:val="Dokumentinfo"/>
                    <w:framePr w:hSpace="142" w:wrap="around" w:hAnchor="page" w:vAnchor="text" w:x="1419" w:y="1"/>
                    <w:suppressOverlap/>
                    <w:rPr>
                      <w:rFonts w:ascii="Palatino Linotype" w:hAnsi="Palatino Linotype"/>
                      <w:b/>
                      <w:sz w:val="18"/>
                      <w:szCs w:val="20"/>
                      <w:lang w:val="de-DE"/>
                    </w:rPr>
                  </w:pPr>
                </w:p>
              </w:tc>
            </w:tr>
            <w:tr w:rsidRPr="006F5D19" w:rsidR="009D765D" w:rsidTr="001E56ED" w14:paraId="597BDA02" w14:textId="77777777">
              <w:tc>
                <w:tcPr>
                  <w:tcW w:w="9288" w:type="dxa"/>
                </w:tcPr>
                <w:p w:rsidRPr="00AA4EE3" w:rsidR="00E54C6C" w:rsidP="006F5D19" w:rsidRDefault="00E54C6C" w14:paraId="06D3D431" w14:textId="77777777">
                  <w:pPr>
                    <w:pStyle w:val="Dokumentinfo"/>
                    <w:framePr w:hSpace="142" w:wrap="around" w:hAnchor="page" w:vAnchor="text" w:x="1419" w:y="1"/>
                    <w:suppressOverlap/>
                    <w:rPr>
                      <w:rFonts w:ascii="Palatino Linotype" w:hAnsi="Palatino Linotype"/>
                      <w:b/>
                      <w:sz w:val="18"/>
                      <w:szCs w:val="20"/>
                      <w:lang w:val="de-DE"/>
                    </w:rPr>
                  </w:pPr>
                </w:p>
              </w:tc>
              <w:tc>
                <w:tcPr>
                  <w:tcW w:w="222" w:type="dxa"/>
                </w:tcPr>
                <w:p w:rsidRPr="00AA4EE3" w:rsidR="009D765D" w:rsidP="006F5D19" w:rsidRDefault="009D765D" w14:paraId="078020ED" w14:textId="77777777">
                  <w:pPr>
                    <w:pStyle w:val="Dokumentinfo"/>
                    <w:framePr w:hSpace="142" w:wrap="around" w:hAnchor="page" w:vAnchor="text" w:x="1419" w:y="1"/>
                    <w:suppressOverlap/>
                    <w:rPr>
                      <w:rFonts w:ascii="Palatino Linotype" w:hAnsi="Palatino Linotype"/>
                      <w:b/>
                      <w:sz w:val="18"/>
                      <w:szCs w:val="20"/>
                      <w:lang w:val="de-DE"/>
                    </w:rPr>
                  </w:pPr>
                </w:p>
              </w:tc>
            </w:tr>
          </w:tbl>
          <w:p w:rsidRPr="00AA4EE3" w:rsidR="000707CC" w:rsidP="000707CC" w:rsidRDefault="000707CC" w14:paraId="7F675FDE" w14:textId="77777777">
            <w:pPr>
              <w:pStyle w:val="Dokumentinfo"/>
              <w:rPr>
                <w:rFonts w:ascii="Palatino Linotype" w:hAnsi="Palatino Linotype"/>
                <w:b w:val="0"/>
                <w:lang w:val="de-DE"/>
              </w:rPr>
            </w:pPr>
          </w:p>
        </w:tc>
        <w:tc>
          <w:tcPr>
            <w:tcW w:w="5386" w:type="dxa"/>
            <w:shd w:val="clear" w:color="auto" w:fill="auto"/>
          </w:tcPr>
          <w:p w:rsidRPr="00AA4EE3" w:rsidR="000707CC" w:rsidP="000707CC" w:rsidRDefault="000707CC" w14:paraId="3BD5C7C7" w14:textId="77777777">
            <w:pPr>
              <w:pStyle w:val="Dokumentinfo"/>
              <w:rPr>
                <w:rFonts w:ascii="Palatino Linotype" w:hAnsi="Palatino Linotype"/>
                <w:b w:val="0"/>
                <w:lang w:val="de-DE"/>
              </w:rPr>
            </w:pPr>
          </w:p>
        </w:tc>
      </w:tr>
    </w:tbl>
    <w:bookmarkEnd w:id="0"/>
    <w:p w:rsidRPr="00F74766" w:rsidR="00AA4EE3" w:rsidP="00AA4EE3" w:rsidRDefault="00AA4EE3" w14:paraId="4CA08E0B" w14:textId="0972A784">
      <w:pPr>
        <w:pStyle w:val="Rubrik1"/>
        <w:rPr>
          <w:color w:val="3B5776"/>
          <w:sz w:val="30"/>
          <w:szCs w:val="30"/>
        </w:rPr>
      </w:pPr>
      <w:r w:rsidRPr="00AA4EE3">
        <w:rPr>
          <w:color w:val="3B5776"/>
          <w:sz w:val="30"/>
          <w:szCs w:val="30"/>
        </w:rPr>
        <w:t xml:space="preserve">Remiss Återstartsutredningens betänkande Från kris till kraft, återstart för kulturen (SOU 2021:77) </w:t>
      </w:r>
    </w:p>
    <w:p w:rsidR="00AA4EE3" w:rsidP="1D415C78" w:rsidRDefault="00AA4EE3" w14:paraId="293DF150" w14:textId="40B520DC">
      <w:pPr>
        <w:spacing w:after="0" w:line="240" w:lineRule="auto"/>
        <w:textAlignment w:val="baseline"/>
        <w:rPr>
          <w:rFonts w:ascii="Arial Black" w:hAnsi="Arial Black" w:eastAsia="Times New Roman" w:cs="Segoe UI"/>
          <w:b/>
          <w:bCs/>
          <w:color w:val="3B5776"/>
          <w:sz w:val="24"/>
          <w:lang w:eastAsia="sv-SE"/>
        </w:rPr>
      </w:pPr>
    </w:p>
    <w:p w:rsidR="1D415C78" w:rsidP="1D415C78" w:rsidRDefault="1D415C78" w14:paraId="6D6C8430" w14:textId="0ABF3CE8">
      <w:pPr>
        <w:spacing w:after="0" w:line="240" w:lineRule="auto"/>
        <w:rPr>
          <w:rFonts w:ascii="Arial Black" w:hAnsi="Arial Black" w:eastAsiaTheme="majorEastAsia" w:cstheme="majorBidi"/>
          <w:b/>
          <w:bCs/>
          <w:color w:val="3B5776"/>
          <w:sz w:val="24"/>
        </w:rPr>
      </w:pPr>
    </w:p>
    <w:p w:rsidRPr="00AD0927" w:rsidR="00AA4EE3" w:rsidP="00AA4EE3" w:rsidRDefault="00AA4EE3" w14:paraId="7B6C3AD8" w14:textId="1EE3EE69">
      <w:pPr>
        <w:spacing w:after="0" w:line="240" w:lineRule="auto"/>
        <w:textAlignment w:val="baseline"/>
        <w:rPr>
          <w:rFonts w:ascii="Segoe UI" w:hAnsi="Segoe UI" w:eastAsia="Times New Roman" w:cs="Segoe UI"/>
          <w:b/>
          <w:bCs/>
          <w:color w:val="262626"/>
          <w:sz w:val="18"/>
          <w:szCs w:val="18"/>
          <w:lang w:eastAsia="sv-SE"/>
        </w:rPr>
      </w:pPr>
      <w:r w:rsidRPr="00AA4EE3">
        <w:rPr>
          <w:rFonts w:ascii="Arial Black" w:hAnsi="Arial Black" w:eastAsiaTheme="majorEastAsia" w:cstheme="majorBidi"/>
          <w:b/>
          <w:color w:val="3B5776"/>
          <w:sz w:val="24"/>
        </w:rPr>
        <w:t>Förslag till beslut  </w:t>
      </w:r>
    </w:p>
    <w:p w:rsidRPr="00AA4EE3" w:rsidR="006723E7" w:rsidP="1D415C78" w:rsidRDefault="00AA4EE3" w14:paraId="30F7C5EC" w14:textId="2DDE2E06">
      <w:pPr>
        <w:shd w:val="clear" w:color="auto" w:fill="FFFFFF" w:themeFill="background1"/>
        <w:spacing w:after="150" w:line="240" w:lineRule="auto"/>
        <w:rPr>
          <w:rFonts w:ascii="Palatino Linotype" w:hAnsi="Palatino Linotype" w:eastAsiaTheme="majorEastAsia"/>
          <w:sz w:val="24"/>
        </w:rPr>
      </w:pPr>
      <w:r w:rsidRPr="1D415C78">
        <w:rPr>
          <w:rFonts w:ascii="Palatino Linotype" w:hAnsi="Palatino Linotype" w:eastAsiaTheme="majorEastAsia"/>
          <w:sz w:val="24"/>
        </w:rPr>
        <w:t>Styrelsen för Business Region Göteborg föreslås att ställa sig bakom tjänsteutlåtandet för utredningen Från kris till kraft, återstart för kulturen (SOU 2021:77)</w:t>
      </w:r>
    </w:p>
    <w:p w:rsidRPr="00B4215B" w:rsidR="000046E1" w:rsidP="000046E1" w:rsidRDefault="000046E1" w14:paraId="73FA7131" w14:textId="77777777">
      <w:pPr>
        <w:pStyle w:val="Rubrik2"/>
        <w:rPr>
          <w:rFonts w:ascii="Arial Black" w:hAnsi="Arial Black"/>
          <w:color w:val="3B5776"/>
          <w:sz w:val="24"/>
          <w:szCs w:val="24"/>
        </w:rPr>
      </w:pPr>
      <w:r w:rsidRPr="1D415C78">
        <w:rPr>
          <w:rFonts w:ascii="Arial Black" w:hAnsi="Arial Black"/>
          <w:color w:val="3B5776"/>
          <w:sz w:val="24"/>
          <w:szCs w:val="24"/>
        </w:rPr>
        <w:t>Sammanfattning</w:t>
      </w:r>
    </w:p>
    <w:p w:rsidR="19B08981" w:rsidP="1D415C78" w:rsidRDefault="19B08981" w14:paraId="13F34DC0" w14:textId="72852A95">
      <w:pPr>
        <w:rPr>
          <w:rFonts w:ascii="Palatino Linotype" w:hAnsi="Palatino Linotype" w:eastAsiaTheme="majorEastAsia"/>
          <w:sz w:val="24"/>
        </w:rPr>
      </w:pPr>
      <w:r w:rsidRPr="1D415C78">
        <w:rPr>
          <w:rFonts w:ascii="Palatino Linotype" w:hAnsi="Palatino Linotype" w:eastAsiaTheme="majorEastAsia"/>
          <w:sz w:val="24"/>
        </w:rPr>
        <w:t xml:space="preserve">Utredningen “Från kris till kraft, återstart för kulturen (SOU 2021:77)” presenterar förslag på hur kulturlivet ska komma på fötter igen och totalt rör det sig en satsning på 3,9 miljarder kronor under åren </w:t>
      </w:r>
      <w:proofErr w:type="gramStart"/>
      <w:r w:rsidRPr="1D415C78">
        <w:rPr>
          <w:rFonts w:ascii="Palatino Linotype" w:hAnsi="Palatino Linotype" w:eastAsiaTheme="majorEastAsia"/>
          <w:sz w:val="24"/>
        </w:rPr>
        <w:t>2022-2024</w:t>
      </w:r>
      <w:proofErr w:type="gramEnd"/>
      <w:r w:rsidRPr="1D415C78">
        <w:rPr>
          <w:rFonts w:ascii="Palatino Linotype" w:hAnsi="Palatino Linotype" w:eastAsiaTheme="majorEastAsia"/>
          <w:sz w:val="24"/>
        </w:rPr>
        <w:t>, följt av ett permanent stöd om 760 miljoner årligen.</w:t>
      </w:r>
    </w:p>
    <w:p w:rsidR="19B08981" w:rsidP="1D415C78" w:rsidRDefault="19B08981" w14:paraId="145948C1" w14:textId="10556401">
      <w:pPr>
        <w:rPr>
          <w:rFonts w:ascii="Palatino Linotype" w:hAnsi="Palatino Linotype"/>
          <w:sz w:val="24"/>
        </w:rPr>
      </w:pPr>
      <w:r w:rsidRPr="1D415C78">
        <w:rPr>
          <w:rFonts w:ascii="Palatino Linotype" w:hAnsi="Palatino Linotype"/>
          <w:szCs w:val="22"/>
        </w:rPr>
        <w:t xml:space="preserve">BRG anser att om </w:t>
      </w:r>
      <w:r w:rsidRPr="1D415C78">
        <w:rPr>
          <w:rFonts w:ascii="Palatino Linotype" w:hAnsi="Palatino Linotype"/>
          <w:sz w:val="24"/>
        </w:rPr>
        <w:t>regeringen genomföra det utredningen förslår, skulle det ha god inverkan på kulturella och kreativa näringar.</w:t>
      </w:r>
    </w:p>
    <w:p w:rsidR="19B08981" w:rsidP="1D415C78" w:rsidRDefault="19B08981" w14:paraId="1A83573F" w14:textId="06963D82">
      <w:pPr>
        <w:shd w:val="clear" w:color="auto" w:fill="FFFFFF" w:themeFill="background1"/>
        <w:spacing w:after="150" w:line="240" w:lineRule="auto"/>
        <w:rPr>
          <w:rFonts w:ascii="Palatino Linotype" w:hAnsi="Palatino Linotype"/>
          <w:sz w:val="24"/>
        </w:rPr>
      </w:pPr>
      <w:r w:rsidRPr="1D415C78">
        <w:rPr>
          <w:rFonts w:ascii="Palatino Linotype" w:hAnsi="Palatino Linotype"/>
          <w:sz w:val="24"/>
        </w:rPr>
        <w:t xml:space="preserve">Utöver utredningens förslag anser BRG att exportstödet också ska kunna ges som projektstöd för att förstärka kommunala och regionala satsningar, och inte bara till företag som fungerar som mäklare mellan internationella marknader och svenska kulturaktörer. </w:t>
      </w:r>
    </w:p>
    <w:p w:rsidR="19B08981" w:rsidP="1D415C78" w:rsidRDefault="19B08981" w14:paraId="347AAD25" w14:textId="7AA9E418">
      <w:pPr>
        <w:shd w:val="clear" w:color="auto" w:fill="FFFFFF" w:themeFill="background1"/>
        <w:spacing w:after="150" w:line="240" w:lineRule="auto"/>
        <w:rPr>
          <w:rFonts w:ascii="Palatino Linotype" w:hAnsi="Palatino Linotype" w:eastAsiaTheme="majorEastAsia"/>
          <w:sz w:val="24"/>
        </w:rPr>
      </w:pPr>
      <w:r w:rsidRPr="5254C345" w:rsidR="19B08981">
        <w:rPr>
          <w:rFonts w:ascii="Palatino Linotype" w:hAnsi="Palatino Linotype"/>
          <w:sz w:val="24"/>
          <w:szCs w:val="24"/>
        </w:rPr>
        <w:t>BRG anser att regioner och kommuner bör aktiveras vid nationell samordning av KKN-området för att upprätthålla subsidiaritetsprincipen i frågorna.</w:t>
      </w:r>
    </w:p>
    <w:p w:rsidR="445CEE00" w:rsidP="5254C345" w:rsidRDefault="445CEE00" w14:paraId="3603AF75" w14:textId="1625119B">
      <w:pPr>
        <w:rPr>
          <w:rFonts w:ascii="Palatino Linotype" w:hAnsi="Palatino Linotype" w:eastAsia="Palatino Linotype" w:cs="Palatino Linotype"/>
          <w:noProof w:val="0"/>
          <w:sz w:val="24"/>
          <w:szCs w:val="24"/>
          <w:lang w:val="sv-SE"/>
        </w:rPr>
      </w:pPr>
      <w:r w:rsidRPr="5254C345" w:rsidR="445CEE00">
        <w:rPr>
          <w:rFonts w:ascii="Palatino Linotype" w:hAnsi="Palatino Linotype" w:eastAsia="Palatino Linotype" w:cs="Palatino Linotype"/>
          <w:noProof w:val="0"/>
          <w:sz w:val="24"/>
          <w:szCs w:val="24"/>
          <w:lang w:val="sv-SE"/>
        </w:rPr>
        <w:t>Incitamentet för Film - och TV-produktioner i Sverige bör också omfatta de inhemska aktörer som väljer att spela in i Sverige.</w:t>
      </w:r>
    </w:p>
    <w:p w:rsidRPr="007C2303" w:rsidR="007C2303" w:rsidP="007C2303" w:rsidRDefault="00E449FB" w14:paraId="1C9EC405" w14:textId="4D7517A9">
      <w:pPr>
        <w:pStyle w:val="Rubrik2"/>
        <w:rPr>
          <w:rFonts w:ascii="Arial Black" w:hAnsi="Arial Black"/>
          <w:color w:val="3B5776"/>
          <w:sz w:val="24"/>
          <w:szCs w:val="24"/>
        </w:rPr>
      </w:pPr>
      <w:r w:rsidRPr="00B4215B">
        <w:rPr>
          <w:rFonts w:ascii="Arial Black" w:hAnsi="Arial Black"/>
          <w:color w:val="3B5776"/>
          <w:sz w:val="24"/>
          <w:szCs w:val="24"/>
        </w:rPr>
        <w:lastRenderedPageBreak/>
        <w:t>Bedömning ur ekonomisk dimension</w:t>
      </w:r>
      <w:r w:rsidR="007E6C0F">
        <w:rPr>
          <w:rFonts w:ascii="Arial Black" w:hAnsi="Arial Black"/>
          <w:color w:val="3B5776"/>
          <w:sz w:val="24"/>
          <w:szCs w:val="24"/>
        </w:rPr>
        <w:t xml:space="preserve"> </w:t>
      </w:r>
    </w:p>
    <w:p w:rsidRPr="007C2303" w:rsidR="007C2303" w:rsidP="007C2303" w:rsidRDefault="007C2303" w14:paraId="11D2C664" w14:textId="77777777">
      <w:pPr>
        <w:pStyle w:val="Rubrik2"/>
        <w:rPr>
          <w:rFonts w:ascii="Palatino Linotype" w:hAnsi="Palatino Linotype" w:cstheme="minorBidi"/>
          <w:b w:val="0"/>
          <w:color w:val="auto"/>
          <w:sz w:val="24"/>
        </w:rPr>
      </w:pPr>
      <w:r w:rsidRPr="007C2303">
        <w:rPr>
          <w:rFonts w:ascii="Palatino Linotype" w:hAnsi="Palatino Linotype" w:cstheme="minorBidi"/>
          <w:b w:val="0"/>
          <w:color w:val="auto"/>
          <w:sz w:val="24"/>
        </w:rPr>
        <w:t>Pandemin och de efterföljande restriktionerna har haft en mycket omfattande negativ påverkan på de kulturområdet. Flera delar inom området har helt behövt upphöra med sin verksamhet. Konkurser, förluster och kompetensbortfall är några av följderna inom branscherna. Publiken skaffar sig nya vanor och digital kulturkonsumtion vinner mark. Utredningens förslag skulle ha mycket god inverkan ur ekonomisk dimension.</w:t>
      </w:r>
    </w:p>
    <w:p w:rsidRPr="007C2303" w:rsidR="007C2303" w:rsidP="007C2303" w:rsidRDefault="007C2303" w14:paraId="5E11A43F" w14:textId="77777777">
      <w:pPr>
        <w:pStyle w:val="Rubrik2"/>
        <w:rPr>
          <w:rFonts w:ascii="Arial Black" w:hAnsi="Arial Black"/>
          <w:color w:val="3B5776"/>
          <w:sz w:val="24"/>
          <w:szCs w:val="24"/>
        </w:rPr>
      </w:pPr>
      <w:r w:rsidRPr="007C2303">
        <w:rPr>
          <w:rFonts w:ascii="Arial Black" w:hAnsi="Arial Black"/>
          <w:color w:val="3B5776"/>
          <w:sz w:val="24"/>
          <w:szCs w:val="24"/>
        </w:rPr>
        <w:t xml:space="preserve">Bedömning ur ekologisk dimension </w:t>
      </w:r>
    </w:p>
    <w:p w:rsidRPr="007C2303" w:rsidR="007C2303" w:rsidP="007C2303" w:rsidRDefault="007C2303" w14:paraId="01841C38" w14:textId="2CC1F68E">
      <w:pPr>
        <w:pStyle w:val="Rubrik2"/>
        <w:rPr>
          <w:rFonts w:ascii="Palatino Linotype" w:hAnsi="Palatino Linotype" w:cstheme="minorBidi"/>
          <w:b w:val="0"/>
          <w:color w:val="auto"/>
          <w:sz w:val="24"/>
        </w:rPr>
      </w:pPr>
      <w:r w:rsidRPr="007C2303">
        <w:rPr>
          <w:rFonts w:ascii="Palatino Linotype" w:hAnsi="Palatino Linotype" w:cstheme="minorBidi"/>
          <w:b w:val="0"/>
          <w:color w:val="auto"/>
          <w:sz w:val="24"/>
        </w:rPr>
        <w:t xml:space="preserve">BRG bedömer inte att utredningens förslag kommer att ha omfattande påverkan på miljöfrågor. Kultur är en relativt miljövänlig konsumtion och tillväxt i kulturområdet är därmed del av hållbar utveckling ur ekologisk dimension. Starka lokala kulturscener ger också minskade incitament till resande, men det </w:t>
      </w:r>
      <w:r>
        <w:rPr>
          <w:rFonts w:ascii="Palatino Linotype" w:hAnsi="Palatino Linotype" w:cstheme="minorBidi"/>
          <w:b w:val="0"/>
          <w:color w:val="auto"/>
          <w:sz w:val="24"/>
        </w:rPr>
        <w:t>har</w:t>
      </w:r>
      <w:r w:rsidRPr="007C2303">
        <w:rPr>
          <w:rFonts w:ascii="Palatino Linotype" w:hAnsi="Palatino Linotype" w:cstheme="minorBidi"/>
          <w:b w:val="0"/>
          <w:color w:val="auto"/>
          <w:sz w:val="24"/>
        </w:rPr>
        <w:t xml:space="preserve"> en </w:t>
      </w:r>
      <w:r>
        <w:rPr>
          <w:rFonts w:ascii="Palatino Linotype" w:hAnsi="Palatino Linotype" w:cstheme="minorBidi"/>
          <w:b w:val="0"/>
          <w:color w:val="auto"/>
          <w:sz w:val="24"/>
        </w:rPr>
        <w:t>förhållande</w:t>
      </w:r>
      <w:r w:rsidRPr="007C2303">
        <w:rPr>
          <w:rFonts w:ascii="Palatino Linotype" w:hAnsi="Palatino Linotype" w:cstheme="minorBidi"/>
          <w:b w:val="0"/>
          <w:color w:val="auto"/>
          <w:sz w:val="24"/>
        </w:rPr>
        <w:t xml:space="preserve"> svag </w:t>
      </w:r>
      <w:r>
        <w:rPr>
          <w:rFonts w:ascii="Palatino Linotype" w:hAnsi="Palatino Linotype" w:cstheme="minorBidi"/>
          <w:b w:val="0"/>
          <w:color w:val="auto"/>
          <w:sz w:val="24"/>
        </w:rPr>
        <w:t>påverkan</w:t>
      </w:r>
      <w:r w:rsidRPr="007C2303">
        <w:rPr>
          <w:rFonts w:ascii="Palatino Linotype" w:hAnsi="Palatino Linotype" w:cstheme="minorBidi"/>
          <w:b w:val="0"/>
          <w:color w:val="auto"/>
          <w:sz w:val="24"/>
        </w:rPr>
        <w:t>.</w:t>
      </w:r>
    </w:p>
    <w:p w:rsidRPr="007C2303" w:rsidR="007C2303" w:rsidP="007C2303" w:rsidRDefault="007C2303" w14:paraId="443B3210" w14:textId="77777777">
      <w:pPr>
        <w:pStyle w:val="Rubrik2"/>
        <w:rPr>
          <w:rFonts w:ascii="Arial Black" w:hAnsi="Arial Black"/>
          <w:color w:val="3B5776"/>
          <w:sz w:val="24"/>
          <w:szCs w:val="24"/>
        </w:rPr>
      </w:pPr>
      <w:r w:rsidRPr="007C2303">
        <w:rPr>
          <w:rFonts w:ascii="Arial Black" w:hAnsi="Arial Black"/>
          <w:color w:val="3B5776"/>
          <w:sz w:val="24"/>
          <w:szCs w:val="24"/>
        </w:rPr>
        <w:t xml:space="preserve">Bedömning ur social dimension </w:t>
      </w:r>
    </w:p>
    <w:p w:rsidRPr="00436489" w:rsidR="000046E1" w:rsidP="007C2303" w:rsidRDefault="007C2303" w14:paraId="287EB79C" w14:textId="281C614E">
      <w:pPr>
        <w:pStyle w:val="Rubrik2"/>
        <w:rPr>
          <w:rFonts w:ascii="Palatino Linotype" w:hAnsi="Palatino Linotype"/>
        </w:rPr>
      </w:pPr>
      <w:r w:rsidRPr="007C2303">
        <w:rPr>
          <w:rFonts w:ascii="Palatino Linotype" w:hAnsi="Palatino Linotype" w:cstheme="minorBidi"/>
          <w:b w:val="0"/>
          <w:color w:val="auto"/>
          <w:sz w:val="24"/>
        </w:rPr>
        <w:t>Att kulturområdet och medborgarna har tillgång till gemensamma kulturupplevelser fungerar är viktigt för den sociala sammanhållningen. De grupper som riskerar att falla bort i en krympande kulturbransch är de grupper som redan har svag delaktighet i det allmänna kulturutbudet. Utredningens förslag bidrar till bibehållen bredd inom kulturområdet avseende både konsumenter och producenter.</w:t>
      </w:r>
      <w:r w:rsidRPr="007C2303" w:rsidR="007E6C0F">
        <w:rPr>
          <w:rFonts w:ascii="Palatino Linotype" w:hAnsi="Palatino Linotype" w:cstheme="minorBidi"/>
          <w:b w:val="0"/>
          <w:color w:val="auto"/>
          <w:sz w:val="24"/>
        </w:rPr>
        <w:t xml:space="preserve"> </w:t>
      </w:r>
    </w:p>
    <w:p w:rsidRPr="00436489" w:rsidR="006839B4" w:rsidP="006839B4" w:rsidRDefault="006839B4" w14:paraId="20569C43" w14:textId="77777777">
      <w:pPr>
        <w:pStyle w:val="Rubrik2"/>
        <w:rPr>
          <w:rFonts w:ascii="Arial Black" w:hAnsi="Arial Black"/>
          <w:color w:val="3B5776"/>
          <w:sz w:val="24"/>
          <w:szCs w:val="24"/>
        </w:rPr>
      </w:pPr>
      <w:r w:rsidRPr="00436489">
        <w:rPr>
          <w:rFonts w:ascii="Arial Black" w:hAnsi="Arial Black"/>
          <w:color w:val="3B5776"/>
          <w:sz w:val="24"/>
          <w:szCs w:val="24"/>
        </w:rPr>
        <w:t xml:space="preserve">Ärendet </w:t>
      </w:r>
    </w:p>
    <w:p w:rsidR="006723E7" w:rsidP="006839B4" w:rsidRDefault="007C2303" w14:paraId="48ABB7D8" w14:textId="77777777">
      <w:pPr>
        <w:pStyle w:val="Rubrik2"/>
        <w:rPr>
          <w:rFonts w:ascii="Palatino Linotype" w:hAnsi="Palatino Linotype" w:eastAsiaTheme="minorEastAsia" w:cstheme="minorBidi"/>
          <w:b w:val="0"/>
          <w:color w:val="auto"/>
          <w:sz w:val="24"/>
        </w:rPr>
      </w:pPr>
      <w:r w:rsidRPr="007C2303">
        <w:rPr>
          <w:rFonts w:ascii="Palatino Linotype" w:hAnsi="Palatino Linotype" w:eastAsiaTheme="minorEastAsia" w:cstheme="minorBidi"/>
          <w:b w:val="0"/>
          <w:color w:val="auto"/>
          <w:sz w:val="24"/>
        </w:rPr>
        <w:t>Ärendet består av att ge vår syn på utredningen Från kris till kraft, återstart för kulturen (SOU 2021:77) Kulturnämnden, grundskolenämnden, styrelsen för BRG samt styrelsen för Göteborg &amp; co har blivit tillfrågade att yttra sig till Stadsledningskontoret som sammanställer till Kulturdepartementet. Vi ska bifoga protokollsutdrag och tjänsteutlåtande vid styrelsebehandlat remissvar.</w:t>
      </w:r>
    </w:p>
    <w:p w:rsidR="00A53D9E" w:rsidRDefault="00A53D9E" w14:paraId="4D5A222C" w14:textId="77777777">
      <w:pPr>
        <w:spacing w:after="240" w:line="240" w:lineRule="auto"/>
        <w:rPr>
          <w:rFonts w:ascii="Arial Black" w:hAnsi="Arial Black" w:eastAsiaTheme="majorEastAsia" w:cstheme="majorBidi"/>
          <w:b/>
          <w:color w:val="3B5776"/>
          <w:sz w:val="24"/>
        </w:rPr>
      </w:pPr>
      <w:r>
        <w:rPr>
          <w:rFonts w:ascii="Arial Black" w:hAnsi="Arial Black"/>
          <w:color w:val="3B5776"/>
          <w:sz w:val="24"/>
        </w:rPr>
        <w:br w:type="page"/>
      </w:r>
    </w:p>
    <w:p w:rsidRPr="00436489" w:rsidR="006839B4" w:rsidP="006839B4" w:rsidRDefault="006839B4" w14:paraId="1D308AD4" w14:textId="2583D39E">
      <w:pPr>
        <w:pStyle w:val="Rubrik2"/>
        <w:rPr>
          <w:rFonts w:ascii="Arial Black" w:hAnsi="Arial Black"/>
          <w:color w:val="3B5776"/>
          <w:sz w:val="24"/>
          <w:szCs w:val="24"/>
        </w:rPr>
      </w:pPr>
      <w:r w:rsidRPr="00436489">
        <w:rPr>
          <w:rFonts w:ascii="Arial Black" w:hAnsi="Arial Black"/>
          <w:color w:val="3B5776"/>
          <w:sz w:val="24"/>
          <w:szCs w:val="24"/>
        </w:rPr>
        <w:lastRenderedPageBreak/>
        <w:t>Beskrivning av ärendet</w:t>
      </w:r>
    </w:p>
    <w:p w:rsidRPr="006723E7" w:rsidR="006723E7" w:rsidP="006723E7" w:rsidRDefault="006723E7" w14:paraId="18C19E3E" w14:textId="77777777">
      <w:pPr>
        <w:pStyle w:val="Rubrik2"/>
        <w:rPr>
          <w:rFonts w:ascii="Palatino Linotype" w:hAnsi="Palatino Linotype" w:eastAsiaTheme="minorEastAsia" w:cstheme="minorBidi"/>
          <w:b w:val="0"/>
          <w:color w:val="auto"/>
          <w:sz w:val="24"/>
        </w:rPr>
      </w:pPr>
      <w:r w:rsidRPr="006723E7">
        <w:rPr>
          <w:rFonts w:ascii="Palatino Linotype" w:hAnsi="Palatino Linotype" w:eastAsiaTheme="minorEastAsia" w:cstheme="minorBidi"/>
          <w:b w:val="0"/>
          <w:color w:val="auto"/>
          <w:sz w:val="24"/>
        </w:rPr>
        <w:t>Följande förslag i utredningen Från kris till kraft, återstart för kulturen (SOU 2021:77) har tydligt näringslivsperspektiv:</w:t>
      </w:r>
    </w:p>
    <w:p w:rsidRPr="00A53D9E" w:rsidR="006723E7" w:rsidP="006723E7" w:rsidRDefault="006723E7" w14:paraId="796645CC" w14:textId="7C004B5E">
      <w:pPr>
        <w:pStyle w:val="Rubrik2"/>
        <w:rPr>
          <w:rFonts w:ascii="Palatino Linotype" w:hAnsi="Palatino Linotype" w:eastAsiaTheme="minorEastAsia" w:cstheme="minorBidi"/>
          <w:bCs/>
          <w:color w:val="auto"/>
          <w:sz w:val="24"/>
        </w:rPr>
      </w:pPr>
      <w:r w:rsidRPr="00A53D9E">
        <w:rPr>
          <w:rFonts w:ascii="Palatino Linotype" w:hAnsi="Palatino Linotype" w:eastAsiaTheme="minorEastAsia" w:cstheme="minorBidi"/>
          <w:bCs/>
          <w:color w:val="auto"/>
          <w:sz w:val="24"/>
        </w:rPr>
        <w:t>Stöd till Film- &amp; TV</w:t>
      </w:r>
      <w:r w:rsidR="00A53D9E">
        <w:rPr>
          <w:rFonts w:ascii="Palatino Linotype" w:hAnsi="Palatino Linotype" w:eastAsiaTheme="minorEastAsia" w:cstheme="minorBidi"/>
          <w:bCs/>
          <w:color w:val="auto"/>
          <w:sz w:val="24"/>
        </w:rPr>
        <w:br/>
      </w:r>
      <w:r w:rsidRPr="006723E7">
        <w:rPr>
          <w:rFonts w:ascii="Palatino Linotype" w:hAnsi="Palatino Linotype" w:eastAsiaTheme="minorEastAsia" w:cstheme="minorBidi"/>
          <w:b w:val="0"/>
          <w:color w:val="auto"/>
          <w:sz w:val="24"/>
        </w:rPr>
        <w:t>Utredaren föreslår att regeringen bör införa ett incitament för film- och tv-produktioner i Sverige om 300 miljoner kronor per år. Incitamentet syftar till att utveckla spetskompetens och som återstartssatsning. Staten bör från och med 2022 avsätta 300 miljoner kronor årligen för ändamålet</w:t>
      </w:r>
    </w:p>
    <w:p w:rsidRPr="00A53D9E" w:rsidR="006723E7" w:rsidP="006723E7" w:rsidRDefault="006723E7" w14:paraId="3F62DF66" w14:textId="0287272B">
      <w:pPr>
        <w:pStyle w:val="Rubrik2"/>
        <w:rPr>
          <w:rFonts w:ascii="Palatino Linotype" w:hAnsi="Palatino Linotype" w:eastAsiaTheme="minorEastAsia" w:cstheme="minorBidi"/>
          <w:bCs/>
          <w:color w:val="auto"/>
          <w:sz w:val="24"/>
        </w:rPr>
      </w:pPr>
      <w:r w:rsidRPr="00A53D9E">
        <w:rPr>
          <w:rFonts w:ascii="Palatino Linotype" w:hAnsi="Palatino Linotype" w:eastAsiaTheme="minorEastAsia" w:cstheme="minorBidi"/>
          <w:bCs/>
          <w:color w:val="auto"/>
          <w:sz w:val="24"/>
        </w:rPr>
        <w:t>Exportstöd</w:t>
      </w:r>
      <w:r w:rsidR="00A53D9E">
        <w:rPr>
          <w:rFonts w:ascii="Palatino Linotype" w:hAnsi="Palatino Linotype" w:eastAsiaTheme="minorEastAsia" w:cstheme="minorBidi"/>
          <w:bCs/>
          <w:color w:val="auto"/>
          <w:sz w:val="24"/>
        </w:rPr>
        <w:br/>
      </w:r>
      <w:r w:rsidRPr="006723E7">
        <w:rPr>
          <w:rFonts w:ascii="Palatino Linotype" w:hAnsi="Palatino Linotype" w:eastAsiaTheme="minorEastAsia" w:cstheme="minorBidi"/>
          <w:b w:val="0"/>
          <w:color w:val="auto"/>
          <w:sz w:val="24"/>
        </w:rPr>
        <w:t>Utredningen föreslår exportstöd för KKN. Med bakgrund i att företagen upplever ekonomiska hinder för att medverka på internationella mässor. Föreslår utredaren att Kulturrådet får i uppdrag att i samverkan med Tillväxtverket fördela exportstöd till företag som fungerar som mäklare mellan internationella marknader och svenska aktörer inom litteratur, dramatik, scenkonst, bild- och formkonst samt musik. Kulturrådet föreslås fördela stödet och tillföras 5 miljoner kronor årligen från och med 2022 för ändamålet.</w:t>
      </w:r>
    </w:p>
    <w:p w:rsidRPr="006723E7" w:rsidR="006723E7" w:rsidP="006723E7" w:rsidRDefault="006723E7" w14:paraId="44224619" w14:textId="271DAD3B">
      <w:pPr>
        <w:pStyle w:val="Rubrik2"/>
        <w:rPr>
          <w:rFonts w:ascii="Palatino Linotype" w:hAnsi="Palatino Linotype" w:eastAsiaTheme="minorEastAsia" w:cstheme="minorBidi"/>
          <w:b w:val="0"/>
          <w:color w:val="auto"/>
          <w:sz w:val="24"/>
        </w:rPr>
      </w:pPr>
      <w:r w:rsidRPr="00A53D9E">
        <w:rPr>
          <w:rFonts w:ascii="Palatino Linotype" w:hAnsi="Palatino Linotype" w:eastAsiaTheme="minorEastAsia" w:cstheme="minorBidi"/>
          <w:bCs/>
          <w:color w:val="auto"/>
          <w:sz w:val="24"/>
        </w:rPr>
        <w:t>Nationell samordning</w:t>
      </w:r>
      <w:r w:rsidR="00A53D9E">
        <w:rPr>
          <w:rFonts w:ascii="Palatino Linotype" w:hAnsi="Palatino Linotype" w:eastAsiaTheme="minorEastAsia" w:cstheme="minorBidi"/>
          <w:b w:val="0"/>
          <w:color w:val="auto"/>
          <w:sz w:val="24"/>
        </w:rPr>
        <w:br/>
      </w:r>
      <w:r w:rsidRPr="006723E7">
        <w:rPr>
          <w:rFonts w:ascii="Palatino Linotype" w:hAnsi="Palatino Linotype" w:eastAsiaTheme="minorEastAsia" w:cstheme="minorBidi"/>
          <w:b w:val="0"/>
          <w:color w:val="auto"/>
          <w:sz w:val="24"/>
        </w:rPr>
        <w:t xml:space="preserve">Utredaren föreslår att ett samordningskontor för KKN etableras på Regeringskansliet för att öka kunskapen om KKN och för att förbättra förutsättningarna för verksamheter inom KKN att verka både i Sverige och utomlands. Kontoret ska främja ett samarbete mellan olika departement i frågor som berör flera politikområden. En av kontorets första uppgifter bör vara att utforma en nationell strategi för KKN som kan utgöra ett underlag för framtida beslut. </w:t>
      </w:r>
    </w:p>
    <w:p w:rsidRPr="006723E7" w:rsidR="006723E7" w:rsidP="006723E7" w:rsidRDefault="006723E7" w14:paraId="6E24B47B" w14:textId="58A11B00">
      <w:pPr>
        <w:pStyle w:val="Rubrik2"/>
        <w:rPr>
          <w:rFonts w:ascii="Palatino Linotype" w:hAnsi="Palatino Linotype" w:eastAsiaTheme="minorEastAsia" w:cstheme="minorBidi"/>
          <w:b w:val="0"/>
          <w:color w:val="auto"/>
          <w:sz w:val="24"/>
        </w:rPr>
      </w:pPr>
      <w:r w:rsidRPr="00A53D9E">
        <w:rPr>
          <w:rFonts w:ascii="Palatino Linotype" w:hAnsi="Palatino Linotype" w:eastAsiaTheme="minorEastAsia" w:cstheme="minorBidi"/>
          <w:bCs/>
          <w:color w:val="auto"/>
          <w:sz w:val="24"/>
        </w:rPr>
        <w:t>Statistik</w:t>
      </w:r>
      <w:r w:rsidR="00A53D9E">
        <w:rPr>
          <w:rFonts w:ascii="Palatino Linotype" w:hAnsi="Palatino Linotype" w:eastAsiaTheme="minorEastAsia" w:cstheme="minorBidi"/>
          <w:b w:val="0"/>
          <w:color w:val="auto"/>
          <w:sz w:val="24"/>
        </w:rPr>
        <w:br/>
      </w:r>
      <w:r w:rsidRPr="006723E7">
        <w:rPr>
          <w:rFonts w:ascii="Palatino Linotype" w:hAnsi="Palatino Linotype" w:eastAsiaTheme="minorEastAsia" w:cstheme="minorBidi"/>
          <w:b w:val="0"/>
          <w:color w:val="auto"/>
          <w:sz w:val="24"/>
        </w:rPr>
        <w:t xml:space="preserve">Myndigheten för kulturanalys föreslås få i uppdrag att genomföra fördjupade analyser av </w:t>
      </w:r>
      <w:proofErr w:type="spellStart"/>
      <w:r w:rsidRPr="006723E7">
        <w:rPr>
          <w:rFonts w:ascii="Palatino Linotype" w:hAnsi="Palatino Linotype" w:eastAsiaTheme="minorEastAsia" w:cstheme="minorBidi"/>
          <w:b w:val="0"/>
          <w:color w:val="auto"/>
          <w:sz w:val="24"/>
        </w:rPr>
        <w:t>KKN:s</w:t>
      </w:r>
      <w:proofErr w:type="spellEnd"/>
      <w:r w:rsidRPr="006723E7">
        <w:rPr>
          <w:rFonts w:ascii="Palatino Linotype" w:hAnsi="Palatino Linotype" w:eastAsiaTheme="minorEastAsia" w:cstheme="minorBidi"/>
          <w:b w:val="0"/>
          <w:color w:val="auto"/>
          <w:sz w:val="24"/>
        </w:rPr>
        <w:t xml:space="preserve"> delbranscher med utgångspunkt i Tillväxtanalys underlag. Totalt 2 miljoner kronor bör avsättas årligen från och med 2022 för myndigheternas uppdrag.</w:t>
      </w:r>
    </w:p>
    <w:p w:rsidRPr="006723E7" w:rsidR="006723E7" w:rsidP="006723E7" w:rsidRDefault="006723E7" w14:paraId="7D363C25" w14:textId="080A1D46">
      <w:pPr>
        <w:pStyle w:val="Rubrik2"/>
        <w:rPr>
          <w:rFonts w:ascii="Palatino Linotype" w:hAnsi="Palatino Linotype" w:eastAsiaTheme="minorEastAsia" w:cstheme="minorBidi"/>
          <w:b w:val="0"/>
          <w:color w:val="auto"/>
          <w:sz w:val="24"/>
        </w:rPr>
      </w:pPr>
      <w:r w:rsidRPr="00A53D9E">
        <w:rPr>
          <w:rFonts w:ascii="Palatino Linotype" w:hAnsi="Palatino Linotype" w:eastAsiaTheme="minorEastAsia" w:cstheme="minorBidi"/>
          <w:bCs/>
          <w:color w:val="auto"/>
          <w:sz w:val="24"/>
        </w:rPr>
        <w:t>Innovationsstöd</w:t>
      </w:r>
      <w:r w:rsidR="00A53D9E">
        <w:rPr>
          <w:rFonts w:ascii="Palatino Linotype" w:hAnsi="Palatino Linotype" w:eastAsiaTheme="minorEastAsia" w:cstheme="minorBidi"/>
          <w:b w:val="0"/>
          <w:color w:val="auto"/>
          <w:sz w:val="24"/>
        </w:rPr>
        <w:br/>
      </w:r>
      <w:r w:rsidRPr="006723E7">
        <w:rPr>
          <w:rFonts w:ascii="Palatino Linotype" w:hAnsi="Palatino Linotype" w:eastAsiaTheme="minorEastAsia" w:cstheme="minorBidi"/>
          <w:b w:val="0"/>
          <w:color w:val="auto"/>
          <w:sz w:val="24"/>
        </w:rPr>
        <w:t xml:space="preserve">Utredningen föreslår även att regeringen ger </w:t>
      </w:r>
      <w:proofErr w:type="spellStart"/>
      <w:r w:rsidRPr="006723E7">
        <w:rPr>
          <w:rFonts w:ascii="Palatino Linotype" w:hAnsi="Palatino Linotype" w:eastAsiaTheme="minorEastAsia" w:cstheme="minorBidi"/>
          <w:b w:val="0"/>
          <w:color w:val="auto"/>
          <w:sz w:val="24"/>
        </w:rPr>
        <w:t>Vinnova</w:t>
      </w:r>
      <w:proofErr w:type="spellEnd"/>
      <w:r w:rsidRPr="006723E7">
        <w:rPr>
          <w:rFonts w:ascii="Palatino Linotype" w:hAnsi="Palatino Linotype" w:eastAsiaTheme="minorEastAsia" w:cstheme="minorBidi"/>
          <w:b w:val="0"/>
          <w:color w:val="auto"/>
          <w:sz w:val="24"/>
        </w:rPr>
        <w:t xml:space="preserve"> i uppdrag att ta fram förslag på hur den innovation som skapas inom KKN kan stödjas inom ramen för de områden som </w:t>
      </w:r>
      <w:proofErr w:type="spellStart"/>
      <w:r w:rsidRPr="006723E7">
        <w:rPr>
          <w:rFonts w:ascii="Palatino Linotype" w:hAnsi="Palatino Linotype" w:eastAsiaTheme="minorEastAsia" w:cstheme="minorBidi"/>
          <w:b w:val="0"/>
          <w:color w:val="auto"/>
          <w:sz w:val="24"/>
        </w:rPr>
        <w:t>Vinnova</w:t>
      </w:r>
      <w:proofErr w:type="spellEnd"/>
      <w:r w:rsidRPr="006723E7">
        <w:rPr>
          <w:rFonts w:ascii="Palatino Linotype" w:hAnsi="Palatino Linotype" w:eastAsiaTheme="minorEastAsia" w:cstheme="minorBidi"/>
          <w:b w:val="0"/>
          <w:color w:val="auto"/>
          <w:sz w:val="24"/>
        </w:rPr>
        <w:t xml:space="preserve"> arbetar med.</w:t>
      </w:r>
    </w:p>
    <w:p w:rsidRPr="00A53D9E" w:rsidR="006723E7" w:rsidP="006723E7" w:rsidRDefault="006723E7" w14:paraId="4BCA7047" w14:textId="503DB21F">
      <w:pPr>
        <w:pStyle w:val="Rubrik2"/>
        <w:rPr>
          <w:rFonts w:ascii="Palatino Linotype" w:hAnsi="Palatino Linotype" w:eastAsiaTheme="minorEastAsia" w:cstheme="minorBidi"/>
          <w:bCs/>
          <w:color w:val="auto"/>
          <w:sz w:val="24"/>
        </w:rPr>
      </w:pPr>
      <w:r w:rsidRPr="00A53D9E">
        <w:rPr>
          <w:rFonts w:ascii="Palatino Linotype" w:hAnsi="Palatino Linotype" w:eastAsiaTheme="minorEastAsia" w:cstheme="minorBidi"/>
          <w:bCs/>
          <w:color w:val="auto"/>
          <w:sz w:val="24"/>
        </w:rPr>
        <w:lastRenderedPageBreak/>
        <w:t>Kulturcheckar</w:t>
      </w:r>
      <w:r w:rsidR="00A53D9E">
        <w:rPr>
          <w:rFonts w:ascii="Palatino Linotype" w:hAnsi="Palatino Linotype" w:eastAsiaTheme="minorEastAsia" w:cstheme="minorBidi"/>
          <w:bCs/>
          <w:color w:val="auto"/>
          <w:sz w:val="24"/>
        </w:rPr>
        <w:br/>
      </w:r>
      <w:r w:rsidRPr="006723E7">
        <w:rPr>
          <w:rFonts w:ascii="Palatino Linotype" w:hAnsi="Palatino Linotype" w:eastAsiaTheme="minorEastAsia" w:cstheme="minorBidi"/>
          <w:b w:val="0"/>
          <w:color w:val="auto"/>
          <w:sz w:val="24"/>
        </w:rPr>
        <w:t>Stimulansstöd i form av kulturcheckar. För att stimulera kulturkonsumtion föreslås att staten delar ut kulturcheckar på 150 kronor till dem som är folkbokförda i Sverige och har fyllt 18 år. (585 miljoner under 2022). Checkarna ska kunna användas som betalning vid privata, ideella och offentliga kulturaktörers evenemang och besöksmål. Genom att fler lockas att ta del av kulturutbudet ger checkarna en skjuts för kulturverksamheternas återstart och kan vara en utgångspunkt för marknadsföringskampanjer på regional och lokal nivå. Kulturcheckarna ska även bidra till breddat deltagande.</w:t>
      </w:r>
    </w:p>
    <w:p w:rsidRPr="006723E7" w:rsidR="006723E7" w:rsidP="1D415C78" w:rsidRDefault="006723E7" w14:paraId="30422744" w14:textId="77777777">
      <w:pPr>
        <w:pStyle w:val="Rubrik2"/>
        <w:rPr>
          <w:rFonts w:ascii="Palatino Linotype" w:hAnsi="Palatino Linotype" w:eastAsiaTheme="minorEastAsia" w:cstheme="minorBidi"/>
          <w:bCs/>
          <w:color w:val="auto"/>
          <w:sz w:val="24"/>
          <w:szCs w:val="24"/>
        </w:rPr>
      </w:pPr>
      <w:r w:rsidRPr="1D415C78">
        <w:rPr>
          <w:rFonts w:ascii="Palatino Linotype" w:hAnsi="Palatino Linotype" w:eastAsiaTheme="minorEastAsia" w:cstheme="minorBidi"/>
          <w:bCs/>
          <w:color w:val="auto"/>
          <w:sz w:val="24"/>
          <w:szCs w:val="24"/>
        </w:rPr>
        <w:t>Sammanfattning av övriga förslag:</w:t>
      </w:r>
    </w:p>
    <w:p w:rsidRPr="006723E7" w:rsidR="006723E7" w:rsidP="006723E7" w:rsidRDefault="006723E7" w14:paraId="74E91C83" w14:textId="7826CACA">
      <w:pPr>
        <w:pStyle w:val="Rubrik2"/>
        <w:rPr>
          <w:rFonts w:ascii="Palatino Linotype" w:hAnsi="Palatino Linotype" w:eastAsiaTheme="minorEastAsia" w:cstheme="minorBidi"/>
          <w:b w:val="0"/>
          <w:color w:val="auto"/>
          <w:sz w:val="24"/>
        </w:rPr>
      </w:pPr>
      <w:r w:rsidRPr="006723E7">
        <w:rPr>
          <w:rFonts w:ascii="Palatino Linotype" w:hAnsi="Palatino Linotype" w:eastAsiaTheme="minorEastAsia" w:cstheme="minorBidi"/>
          <w:b w:val="0"/>
          <w:color w:val="auto"/>
          <w:sz w:val="24"/>
        </w:rPr>
        <w:t xml:space="preserve">•Återstarts- och utvecklingsstöd till konstnärer och kulturverksamheter </w:t>
      </w:r>
      <w:proofErr w:type="gramStart"/>
      <w:r w:rsidRPr="006723E7">
        <w:rPr>
          <w:rFonts w:ascii="Palatino Linotype" w:hAnsi="Palatino Linotype" w:eastAsiaTheme="minorEastAsia" w:cstheme="minorBidi"/>
          <w:b w:val="0"/>
          <w:color w:val="auto"/>
          <w:sz w:val="24"/>
        </w:rPr>
        <w:t>2022-2023</w:t>
      </w:r>
      <w:proofErr w:type="gramEnd"/>
      <w:r w:rsidRPr="006723E7">
        <w:rPr>
          <w:rFonts w:ascii="Palatino Linotype" w:hAnsi="Palatino Linotype" w:eastAsiaTheme="minorEastAsia" w:cstheme="minorBidi"/>
          <w:b w:val="0"/>
          <w:color w:val="auto"/>
          <w:sz w:val="24"/>
        </w:rPr>
        <w:t xml:space="preserve">. </w:t>
      </w:r>
    </w:p>
    <w:p w:rsidRPr="006723E7" w:rsidR="006723E7" w:rsidP="006723E7" w:rsidRDefault="006723E7" w14:paraId="2DF7D25D" w14:textId="033EAAF6">
      <w:pPr>
        <w:pStyle w:val="Rubrik2"/>
        <w:rPr>
          <w:rFonts w:ascii="Palatino Linotype" w:hAnsi="Palatino Linotype" w:eastAsiaTheme="minorEastAsia" w:cstheme="minorBidi"/>
          <w:b w:val="0"/>
          <w:color w:val="auto"/>
          <w:sz w:val="24"/>
        </w:rPr>
      </w:pPr>
      <w:r w:rsidRPr="006723E7">
        <w:rPr>
          <w:rFonts w:ascii="Palatino Linotype" w:hAnsi="Palatino Linotype" w:eastAsiaTheme="minorEastAsia" w:cstheme="minorBidi"/>
          <w:b w:val="0"/>
          <w:color w:val="auto"/>
          <w:sz w:val="24"/>
        </w:rPr>
        <w:t>•Förstärkt stöd till scenkonstallianserna och musikarrangörer.</w:t>
      </w:r>
    </w:p>
    <w:p w:rsidRPr="006723E7" w:rsidR="006723E7" w:rsidP="006723E7" w:rsidRDefault="006723E7" w14:paraId="174E0E88" w14:textId="16315159">
      <w:pPr>
        <w:pStyle w:val="Rubrik2"/>
        <w:rPr>
          <w:rFonts w:ascii="Palatino Linotype" w:hAnsi="Palatino Linotype" w:eastAsiaTheme="minorEastAsia" w:cstheme="minorBidi"/>
          <w:b w:val="0"/>
          <w:color w:val="auto"/>
          <w:sz w:val="24"/>
        </w:rPr>
      </w:pPr>
      <w:r w:rsidRPr="006723E7">
        <w:rPr>
          <w:rFonts w:ascii="Palatino Linotype" w:hAnsi="Palatino Linotype" w:eastAsiaTheme="minorEastAsia" w:cstheme="minorBidi"/>
          <w:b w:val="0"/>
          <w:color w:val="auto"/>
          <w:sz w:val="24"/>
        </w:rPr>
        <w:t>•Statliga stöd till den fria kulturen, konstnärer, kultursamverkansmodellen och civilsamhällets organisationer ökar permanent.</w:t>
      </w:r>
    </w:p>
    <w:p w:rsidRPr="006723E7" w:rsidR="006723E7" w:rsidP="006723E7" w:rsidRDefault="006723E7" w14:paraId="28903B98" w14:textId="7D0A7CBA">
      <w:pPr>
        <w:pStyle w:val="Rubrik2"/>
        <w:rPr>
          <w:rFonts w:ascii="Palatino Linotype" w:hAnsi="Palatino Linotype" w:eastAsiaTheme="minorEastAsia" w:cstheme="minorBidi"/>
          <w:b w:val="0"/>
          <w:color w:val="auto"/>
          <w:sz w:val="24"/>
        </w:rPr>
      </w:pPr>
      <w:r w:rsidRPr="006723E7">
        <w:rPr>
          <w:rFonts w:ascii="Palatino Linotype" w:hAnsi="Palatino Linotype" w:eastAsiaTheme="minorEastAsia" w:cstheme="minorBidi"/>
          <w:b w:val="0"/>
          <w:color w:val="auto"/>
          <w:sz w:val="24"/>
        </w:rPr>
        <w:t xml:space="preserve">•Stödet för internationellt kulturutbyte ökar permanent. </w:t>
      </w:r>
    </w:p>
    <w:p w:rsidRPr="006723E7" w:rsidR="006723E7" w:rsidP="006723E7" w:rsidRDefault="006723E7" w14:paraId="404AF4EF" w14:textId="165FE1A9">
      <w:pPr>
        <w:pStyle w:val="Rubrik2"/>
        <w:rPr>
          <w:rFonts w:ascii="Palatino Linotype" w:hAnsi="Palatino Linotype" w:eastAsiaTheme="minorEastAsia" w:cstheme="minorBidi"/>
          <w:b w:val="0"/>
          <w:color w:val="auto"/>
          <w:sz w:val="24"/>
        </w:rPr>
      </w:pPr>
      <w:r w:rsidRPr="006723E7">
        <w:rPr>
          <w:rFonts w:ascii="Palatino Linotype" w:hAnsi="Palatino Linotype" w:eastAsiaTheme="minorEastAsia" w:cstheme="minorBidi"/>
          <w:b w:val="0"/>
          <w:color w:val="auto"/>
          <w:sz w:val="24"/>
        </w:rPr>
        <w:t>•Ett särskilt stöd för medfinansiering av svenskt deltagande i EU-programmet Kreativa Europa.</w:t>
      </w:r>
    </w:p>
    <w:p w:rsidRPr="006723E7" w:rsidR="006723E7" w:rsidP="006723E7" w:rsidRDefault="006723E7" w14:paraId="16A34FF1" w14:textId="7760CE0F">
      <w:pPr>
        <w:pStyle w:val="Rubrik2"/>
        <w:rPr>
          <w:rFonts w:ascii="Palatino Linotype" w:hAnsi="Palatino Linotype" w:eastAsiaTheme="minorEastAsia" w:cstheme="minorBidi"/>
          <w:b w:val="0"/>
          <w:color w:val="auto"/>
          <w:sz w:val="24"/>
        </w:rPr>
      </w:pPr>
      <w:r w:rsidRPr="006723E7">
        <w:rPr>
          <w:rFonts w:ascii="Palatino Linotype" w:hAnsi="Palatino Linotype" w:eastAsiaTheme="minorEastAsia" w:cstheme="minorBidi"/>
          <w:b w:val="0"/>
          <w:color w:val="auto"/>
          <w:sz w:val="24"/>
        </w:rPr>
        <w:t>•Att regeringen utreder hur statliga stipendier ska hanteras i trygghetssystemen.</w:t>
      </w:r>
    </w:p>
    <w:p w:rsidRPr="006723E7" w:rsidR="006723E7" w:rsidP="1D415C78" w:rsidRDefault="006723E7" w14:paraId="123E7F3C" w14:textId="091420B4">
      <w:pPr>
        <w:pStyle w:val="Rubrik2"/>
        <w:rPr>
          <w:rFonts w:ascii="Palatino Linotype" w:hAnsi="Palatino Linotype" w:eastAsiaTheme="minorEastAsia" w:cstheme="minorBidi"/>
          <w:b w:val="0"/>
          <w:color w:val="auto"/>
          <w:sz w:val="24"/>
          <w:szCs w:val="24"/>
        </w:rPr>
      </w:pPr>
      <w:r w:rsidRPr="1D415C78">
        <w:rPr>
          <w:rFonts w:ascii="Palatino Linotype" w:hAnsi="Palatino Linotype" w:eastAsiaTheme="minorEastAsia" w:cstheme="minorBidi"/>
          <w:b w:val="0"/>
          <w:color w:val="auto"/>
          <w:sz w:val="24"/>
          <w:szCs w:val="24"/>
        </w:rPr>
        <w:t xml:space="preserve">•Att Försäkringskassan utvecklar information om vad som gäller vid sjukdom och föräldraskap till konstnärer som är egenföretagare eller har en kombination av flera inkomstkällor och anställningsformer. </w:t>
      </w:r>
    </w:p>
    <w:p w:rsidRPr="006723E7" w:rsidR="006723E7" w:rsidP="006723E7" w:rsidRDefault="006723E7" w14:paraId="02A3DA7F" w14:textId="57CE0218">
      <w:pPr>
        <w:pStyle w:val="Rubrik2"/>
        <w:rPr>
          <w:rFonts w:ascii="Palatino Linotype" w:hAnsi="Palatino Linotype" w:eastAsiaTheme="minorEastAsia" w:cstheme="minorBidi"/>
          <w:b w:val="0"/>
          <w:color w:val="auto"/>
          <w:sz w:val="24"/>
        </w:rPr>
      </w:pPr>
      <w:r w:rsidRPr="006723E7">
        <w:rPr>
          <w:rFonts w:ascii="Palatino Linotype" w:hAnsi="Palatino Linotype" w:eastAsiaTheme="minorEastAsia" w:cstheme="minorBidi"/>
          <w:b w:val="0"/>
          <w:color w:val="auto"/>
          <w:sz w:val="24"/>
        </w:rPr>
        <w:t>•En satsning på digitalisering av kulturarvet.</w:t>
      </w:r>
    </w:p>
    <w:p w:rsidRPr="006723E7" w:rsidR="006723E7" w:rsidP="006723E7" w:rsidRDefault="006723E7" w14:paraId="6301E85E" w14:textId="15333B3F">
      <w:pPr>
        <w:pStyle w:val="Rubrik2"/>
        <w:rPr>
          <w:rFonts w:ascii="Palatino Linotype" w:hAnsi="Palatino Linotype" w:eastAsiaTheme="minorEastAsia" w:cstheme="minorBidi"/>
          <w:b w:val="0"/>
          <w:color w:val="auto"/>
          <w:sz w:val="24"/>
        </w:rPr>
      </w:pPr>
      <w:r w:rsidRPr="006723E7">
        <w:rPr>
          <w:rFonts w:ascii="Palatino Linotype" w:hAnsi="Palatino Linotype" w:eastAsiaTheme="minorEastAsia" w:cstheme="minorBidi"/>
          <w:b w:val="0"/>
          <w:color w:val="auto"/>
          <w:sz w:val="24"/>
        </w:rPr>
        <w:t>•En utredning om nationell samordning av bibliotekens utlån av e-böcker.</w:t>
      </w:r>
    </w:p>
    <w:p w:rsidRPr="006723E7" w:rsidR="006723E7" w:rsidP="006723E7" w:rsidRDefault="006723E7" w14:paraId="5B3C3AC3" w14:textId="6974A245">
      <w:pPr>
        <w:pStyle w:val="Rubrik2"/>
        <w:rPr>
          <w:rFonts w:ascii="Palatino Linotype" w:hAnsi="Palatino Linotype" w:eastAsiaTheme="minorEastAsia" w:cstheme="minorBidi"/>
          <w:b w:val="0"/>
          <w:color w:val="auto"/>
          <w:sz w:val="24"/>
        </w:rPr>
      </w:pPr>
      <w:r w:rsidRPr="006723E7">
        <w:rPr>
          <w:rFonts w:ascii="Palatino Linotype" w:hAnsi="Palatino Linotype" w:eastAsiaTheme="minorEastAsia" w:cstheme="minorBidi"/>
          <w:b w:val="0"/>
          <w:color w:val="auto"/>
          <w:sz w:val="24"/>
        </w:rPr>
        <w:t>•Kompetenshöjande insatser inom upphovsrätt.</w:t>
      </w:r>
    </w:p>
    <w:p w:rsidRPr="006723E7" w:rsidR="006723E7" w:rsidP="006723E7" w:rsidRDefault="006723E7" w14:paraId="30A728CD" w14:textId="3A822EB9">
      <w:pPr>
        <w:pStyle w:val="Rubrik2"/>
        <w:rPr>
          <w:rFonts w:ascii="Palatino Linotype" w:hAnsi="Palatino Linotype" w:eastAsiaTheme="minorEastAsia" w:cstheme="minorBidi"/>
          <w:b w:val="0"/>
          <w:color w:val="auto"/>
          <w:sz w:val="24"/>
        </w:rPr>
      </w:pPr>
      <w:r w:rsidRPr="006723E7">
        <w:rPr>
          <w:rFonts w:ascii="Palatino Linotype" w:hAnsi="Palatino Linotype" w:eastAsiaTheme="minorEastAsia" w:cstheme="minorBidi"/>
          <w:b w:val="0"/>
          <w:color w:val="auto"/>
          <w:sz w:val="24"/>
        </w:rPr>
        <w:t xml:space="preserve">•Statliga utvecklingsbidrag till Kulturskolan inrättas permanent samt en utredning som analyserar behovet av ytterligare statliga insatser för att stärka kulturskolan. </w:t>
      </w:r>
    </w:p>
    <w:p w:rsidRPr="006723E7" w:rsidR="006723E7" w:rsidP="006723E7" w:rsidRDefault="006723E7" w14:paraId="17D511C6" w14:textId="2F473A23">
      <w:pPr>
        <w:pStyle w:val="Rubrik2"/>
        <w:rPr>
          <w:rFonts w:ascii="Palatino Linotype" w:hAnsi="Palatino Linotype" w:eastAsiaTheme="minorEastAsia" w:cstheme="minorBidi"/>
          <w:b w:val="0"/>
          <w:color w:val="auto"/>
          <w:sz w:val="24"/>
        </w:rPr>
      </w:pPr>
      <w:r w:rsidRPr="006723E7">
        <w:rPr>
          <w:rFonts w:ascii="Palatino Linotype" w:hAnsi="Palatino Linotype" w:eastAsiaTheme="minorEastAsia" w:cstheme="minorBidi"/>
          <w:b w:val="0"/>
          <w:color w:val="auto"/>
          <w:sz w:val="24"/>
        </w:rPr>
        <w:t>•Utredningen föreslår även att Skolverket får i uppdrag att främja utbytet mellan kultursektorn och skolväsendet.</w:t>
      </w:r>
    </w:p>
    <w:p w:rsidRPr="006723E7" w:rsidR="006723E7" w:rsidP="006723E7" w:rsidRDefault="006723E7" w14:paraId="64178F7A" w14:textId="5A8E1CC4">
      <w:pPr>
        <w:pStyle w:val="Rubrik2"/>
        <w:rPr>
          <w:rFonts w:ascii="Palatino Linotype" w:hAnsi="Palatino Linotype" w:eastAsiaTheme="minorEastAsia" w:cstheme="minorBidi"/>
          <w:b w:val="0"/>
          <w:color w:val="auto"/>
          <w:sz w:val="24"/>
        </w:rPr>
      </w:pPr>
      <w:r w:rsidRPr="006723E7">
        <w:rPr>
          <w:rFonts w:ascii="Palatino Linotype" w:hAnsi="Palatino Linotype" w:eastAsiaTheme="minorEastAsia" w:cstheme="minorBidi"/>
          <w:b w:val="0"/>
          <w:color w:val="auto"/>
          <w:sz w:val="24"/>
        </w:rPr>
        <w:lastRenderedPageBreak/>
        <w:t xml:space="preserve">•Myndigheten för kulturanalys bör analysera orsakerna till det ojämlika deltagandet i Sveriges kulturliv. </w:t>
      </w:r>
    </w:p>
    <w:p w:rsidRPr="006723E7" w:rsidR="006723E7" w:rsidP="006723E7" w:rsidRDefault="006723E7" w14:paraId="76E81E26" w14:textId="08852D48">
      <w:pPr>
        <w:pStyle w:val="Rubrik2"/>
        <w:rPr>
          <w:rFonts w:ascii="Palatino Linotype" w:hAnsi="Palatino Linotype" w:eastAsiaTheme="minorEastAsia" w:cstheme="minorBidi"/>
          <w:b w:val="0"/>
          <w:color w:val="auto"/>
          <w:sz w:val="24"/>
        </w:rPr>
      </w:pPr>
      <w:r w:rsidRPr="006723E7">
        <w:rPr>
          <w:rFonts w:ascii="Palatino Linotype" w:hAnsi="Palatino Linotype" w:eastAsiaTheme="minorEastAsia" w:cstheme="minorBidi"/>
          <w:b w:val="0"/>
          <w:color w:val="auto"/>
          <w:sz w:val="24"/>
        </w:rPr>
        <w:t>•Kulturrådet bör genomföra seminarier för att främja arbetet med breddat deltagande och mot snedrekrytering.</w:t>
      </w:r>
    </w:p>
    <w:p w:rsidRPr="006723E7" w:rsidR="006723E7" w:rsidP="006723E7" w:rsidRDefault="006723E7" w14:paraId="41D9880C" w14:textId="0E986C73">
      <w:pPr>
        <w:pStyle w:val="Rubrik2"/>
        <w:rPr>
          <w:rFonts w:ascii="Palatino Linotype" w:hAnsi="Palatino Linotype" w:eastAsiaTheme="minorEastAsia" w:cstheme="minorBidi"/>
          <w:b w:val="0"/>
          <w:color w:val="auto"/>
          <w:sz w:val="24"/>
        </w:rPr>
      </w:pPr>
      <w:r w:rsidRPr="006723E7">
        <w:rPr>
          <w:rFonts w:ascii="Palatino Linotype" w:hAnsi="Palatino Linotype" w:eastAsiaTheme="minorEastAsia" w:cstheme="minorBidi"/>
          <w:b w:val="0"/>
          <w:color w:val="auto"/>
          <w:sz w:val="24"/>
        </w:rPr>
        <w:t>•Utredningen föreslår att regeringen tar fram en färdplan för filmpolitiken.</w:t>
      </w:r>
    </w:p>
    <w:p w:rsidRPr="006723E7" w:rsidR="006723E7" w:rsidP="006723E7" w:rsidRDefault="006723E7" w14:paraId="51451218" w14:textId="5BA61C4C">
      <w:pPr>
        <w:pStyle w:val="Rubrik2"/>
        <w:rPr>
          <w:rFonts w:ascii="Palatino Linotype" w:hAnsi="Palatino Linotype" w:eastAsiaTheme="minorEastAsia" w:cstheme="minorBidi"/>
          <w:b w:val="0"/>
          <w:color w:val="auto"/>
          <w:sz w:val="24"/>
        </w:rPr>
      </w:pPr>
      <w:r w:rsidRPr="006723E7">
        <w:rPr>
          <w:rFonts w:ascii="Palatino Linotype" w:hAnsi="Palatino Linotype" w:eastAsiaTheme="minorEastAsia" w:cstheme="minorBidi"/>
          <w:b w:val="0"/>
          <w:color w:val="auto"/>
          <w:sz w:val="24"/>
        </w:rPr>
        <w:t>•En utredning om dels kultursamverkansmodellens utveckling.</w:t>
      </w:r>
    </w:p>
    <w:p w:rsidRPr="006723E7" w:rsidR="006723E7" w:rsidP="006723E7" w:rsidRDefault="006723E7" w14:paraId="61D40579" w14:textId="7049D610">
      <w:pPr>
        <w:pStyle w:val="Rubrik2"/>
        <w:rPr>
          <w:rFonts w:ascii="Palatino Linotype" w:hAnsi="Palatino Linotype" w:eastAsiaTheme="minorEastAsia" w:cstheme="minorBidi"/>
          <w:b w:val="0"/>
          <w:color w:val="auto"/>
          <w:sz w:val="24"/>
        </w:rPr>
      </w:pPr>
      <w:r w:rsidRPr="006723E7">
        <w:rPr>
          <w:rFonts w:ascii="Palatino Linotype" w:hAnsi="Palatino Linotype" w:eastAsiaTheme="minorEastAsia" w:cstheme="minorBidi"/>
          <w:b w:val="0"/>
          <w:color w:val="auto"/>
          <w:sz w:val="24"/>
        </w:rPr>
        <w:t xml:space="preserve">•En utredning om förutsättningarna för att inrätta en kulturstiftelse med finansiering från staten och näringslivet. </w:t>
      </w:r>
    </w:p>
    <w:p w:rsidR="006723E7" w:rsidP="006723E7" w:rsidRDefault="006723E7" w14:paraId="42F72A86" w14:textId="09111B1D">
      <w:pPr>
        <w:pStyle w:val="Rubrik2"/>
        <w:rPr>
          <w:rFonts w:ascii="Palatino Linotype" w:hAnsi="Palatino Linotype" w:eastAsiaTheme="minorEastAsia" w:cstheme="minorBidi"/>
          <w:b w:val="0"/>
          <w:color w:val="auto"/>
          <w:sz w:val="24"/>
        </w:rPr>
      </w:pPr>
      <w:r w:rsidRPr="006723E7">
        <w:rPr>
          <w:rFonts w:ascii="Palatino Linotype" w:hAnsi="Palatino Linotype" w:eastAsiaTheme="minorEastAsia" w:cstheme="minorBidi"/>
          <w:b w:val="0"/>
          <w:color w:val="auto"/>
          <w:sz w:val="24"/>
        </w:rPr>
        <w:t>•Att staten finansierar en nationell plattform för utställningsaktörer inom bild och form.</w:t>
      </w:r>
    </w:p>
    <w:p w:rsidR="000046E1" w:rsidP="006723E7" w:rsidRDefault="00436489" w14:paraId="2FEDDB11" w14:textId="2327A524">
      <w:pPr>
        <w:pStyle w:val="Rubrik2"/>
        <w:rPr>
          <w:rFonts w:ascii="Arial Black" w:hAnsi="Arial Black"/>
          <w:color w:val="3B5776"/>
          <w:sz w:val="24"/>
          <w:szCs w:val="24"/>
        </w:rPr>
      </w:pPr>
      <w:r w:rsidRPr="00436489">
        <w:rPr>
          <w:rFonts w:ascii="Arial Black" w:hAnsi="Arial Black"/>
          <w:color w:val="3B5776"/>
          <w:sz w:val="24"/>
          <w:szCs w:val="24"/>
        </w:rPr>
        <w:t>Ärende av principiell beskaffenhet</w:t>
      </w:r>
      <w:r w:rsidR="003B4714">
        <w:rPr>
          <w:rFonts w:ascii="Arial Black" w:hAnsi="Arial Black"/>
          <w:color w:val="3B5776"/>
          <w:sz w:val="24"/>
          <w:szCs w:val="24"/>
        </w:rPr>
        <w:t xml:space="preserve"> </w:t>
      </w:r>
    </w:p>
    <w:p w:rsidR="00BC5A4E" w:rsidP="000046E1" w:rsidRDefault="006723E7" w14:paraId="52F9F204" w14:textId="3DB22D81">
      <w:pPr>
        <w:rPr>
          <w:rFonts w:ascii="Palatino Linotype" w:hAnsi="Palatino Linotype"/>
          <w:sz w:val="24"/>
          <w:szCs w:val="28"/>
        </w:rPr>
      </w:pPr>
      <w:r>
        <w:rPr>
          <w:rFonts w:ascii="Palatino Linotype" w:hAnsi="Palatino Linotype"/>
          <w:sz w:val="24"/>
          <w:szCs w:val="28"/>
        </w:rPr>
        <w:t>Ärendet bedöms inte vara</w:t>
      </w:r>
      <w:r w:rsidR="00436489">
        <w:rPr>
          <w:rFonts w:ascii="Palatino Linotype" w:hAnsi="Palatino Linotype"/>
          <w:sz w:val="24"/>
          <w:szCs w:val="28"/>
        </w:rPr>
        <w:t xml:space="preserve"> av principiell beskaffenhet.</w:t>
      </w:r>
    </w:p>
    <w:p w:rsidRPr="00436489" w:rsidR="003B4714" w:rsidP="003B4714" w:rsidRDefault="003B4714" w14:paraId="59C6714C" w14:textId="77777777">
      <w:pPr>
        <w:pStyle w:val="Rubrik2"/>
        <w:rPr>
          <w:rFonts w:ascii="Arial Black" w:hAnsi="Arial Black"/>
          <w:color w:val="3B5776"/>
          <w:sz w:val="24"/>
          <w:szCs w:val="24"/>
        </w:rPr>
      </w:pPr>
      <w:r w:rsidRPr="00436489">
        <w:rPr>
          <w:rFonts w:ascii="Arial Black" w:hAnsi="Arial Black"/>
          <w:color w:val="3B5776"/>
          <w:sz w:val="24"/>
          <w:szCs w:val="24"/>
        </w:rPr>
        <w:t>Sammanfattande bedömning</w:t>
      </w:r>
    </w:p>
    <w:p w:rsidRPr="006723E7" w:rsidR="006723E7" w:rsidP="006723E7" w:rsidRDefault="006723E7" w14:paraId="73249F49" w14:textId="77777777">
      <w:pPr>
        <w:rPr>
          <w:rFonts w:ascii="Palatino Linotype" w:hAnsi="Palatino Linotype"/>
          <w:sz w:val="24"/>
          <w:szCs w:val="28"/>
        </w:rPr>
      </w:pPr>
      <w:r w:rsidRPr="006723E7">
        <w:rPr>
          <w:rFonts w:ascii="Palatino Linotype" w:hAnsi="Palatino Linotype"/>
          <w:sz w:val="24"/>
          <w:szCs w:val="28"/>
        </w:rPr>
        <w:t>För att kunna bidra till kulturens återstart och ekonomiska utveckling på bästa sätt har regeringen utrett vad man göra. Skulle man genomföra det utredaren förslår skulle det ha god inverkan på de svårt sargade branscherna i kulturområdet.</w:t>
      </w:r>
    </w:p>
    <w:p w:rsidRPr="006723E7" w:rsidR="006723E7" w:rsidP="006723E7" w:rsidRDefault="006723E7" w14:paraId="025F1323" w14:textId="76E11D72">
      <w:pPr>
        <w:rPr>
          <w:rFonts w:ascii="Palatino Linotype" w:hAnsi="Palatino Linotype"/>
          <w:sz w:val="24"/>
          <w:szCs w:val="28"/>
        </w:rPr>
      </w:pPr>
      <w:r>
        <w:rPr>
          <w:rFonts w:ascii="Palatino Linotype" w:hAnsi="Palatino Linotype"/>
          <w:sz w:val="24"/>
          <w:szCs w:val="28"/>
        </w:rPr>
        <w:t>BRG bedömer</w:t>
      </w:r>
      <w:r w:rsidRPr="006723E7">
        <w:rPr>
          <w:rFonts w:ascii="Palatino Linotype" w:hAnsi="Palatino Linotype"/>
          <w:sz w:val="24"/>
          <w:szCs w:val="28"/>
        </w:rPr>
        <w:t xml:space="preserve"> de förslag som har tydligt näringslivsperspektiv, där gör vi följande bedömning:</w:t>
      </w:r>
    </w:p>
    <w:p w:rsidRPr="006723E7" w:rsidR="006723E7" w:rsidP="006723E7" w:rsidRDefault="006723E7" w14:paraId="5E24BC63" w14:textId="4822B6E2">
      <w:pPr>
        <w:rPr>
          <w:rFonts w:ascii="Palatino Linotype" w:hAnsi="Palatino Linotype"/>
          <w:b/>
          <w:bCs/>
          <w:sz w:val="24"/>
          <w:szCs w:val="28"/>
        </w:rPr>
      </w:pPr>
      <w:r w:rsidRPr="006723E7">
        <w:rPr>
          <w:rFonts w:ascii="Palatino Linotype" w:hAnsi="Palatino Linotype"/>
          <w:b/>
          <w:bCs/>
          <w:sz w:val="24"/>
          <w:szCs w:val="28"/>
        </w:rPr>
        <w:t>Stöd till Film- &amp; TV</w:t>
      </w:r>
      <w:r>
        <w:rPr>
          <w:rFonts w:ascii="Palatino Linotype" w:hAnsi="Palatino Linotype"/>
          <w:b/>
          <w:bCs/>
          <w:sz w:val="24"/>
          <w:szCs w:val="28"/>
        </w:rPr>
        <w:br/>
      </w:r>
      <w:r w:rsidRPr="006723E7">
        <w:rPr>
          <w:rFonts w:ascii="Palatino Linotype" w:hAnsi="Palatino Linotype"/>
          <w:sz w:val="24"/>
          <w:szCs w:val="28"/>
        </w:rPr>
        <w:t>Ett incitament på 300 miljoner kronor, som utredningen förslår årligen, för film- och tv-produktioner skulle stärka svensk Film- &amp; TV bransch avsevärt. Den förväntade effekten är att fler produktioner kommer att spela in i Sverige. De flesta andra länder i Europa har idag redan produktionsrabatter, vilket gör att produktioner idag flyr utomlands. Med produktionsrabatter även här skulle incitamentet för detta försvinna.</w:t>
      </w:r>
    </w:p>
    <w:p w:rsidR="006723E7" w:rsidP="006723E7" w:rsidRDefault="006723E7" w14:paraId="4F148431" w14:textId="77777777">
      <w:pPr>
        <w:rPr>
          <w:rFonts w:ascii="Palatino Linotype" w:hAnsi="Palatino Linotype"/>
          <w:b/>
          <w:bCs/>
          <w:sz w:val="24"/>
          <w:szCs w:val="28"/>
        </w:rPr>
      </w:pPr>
      <w:r w:rsidRPr="006723E7">
        <w:rPr>
          <w:rFonts w:ascii="Palatino Linotype" w:hAnsi="Palatino Linotype"/>
          <w:b/>
          <w:bCs/>
          <w:sz w:val="24"/>
          <w:szCs w:val="28"/>
        </w:rPr>
        <w:t>Exportstöd</w:t>
      </w:r>
      <w:r>
        <w:rPr>
          <w:rFonts w:ascii="Palatino Linotype" w:hAnsi="Palatino Linotype"/>
          <w:b/>
          <w:bCs/>
          <w:sz w:val="24"/>
          <w:szCs w:val="28"/>
        </w:rPr>
        <w:br/>
      </w:r>
      <w:r w:rsidRPr="006723E7">
        <w:rPr>
          <w:rFonts w:ascii="Palatino Linotype" w:hAnsi="Palatino Linotype"/>
          <w:sz w:val="24"/>
          <w:szCs w:val="28"/>
        </w:rPr>
        <w:t xml:space="preserve">BRG delar utredningens slutsats att exportsatsningar bör prioriteras. </w:t>
      </w:r>
      <w:proofErr w:type="spellStart"/>
      <w:r w:rsidRPr="006723E7">
        <w:rPr>
          <w:rFonts w:ascii="Palatino Linotype" w:hAnsi="Palatino Linotype"/>
          <w:sz w:val="24"/>
          <w:szCs w:val="28"/>
        </w:rPr>
        <w:t>BRG:s</w:t>
      </w:r>
      <w:proofErr w:type="spellEnd"/>
      <w:r w:rsidRPr="006723E7">
        <w:rPr>
          <w:rFonts w:ascii="Palatino Linotype" w:hAnsi="Palatino Linotype"/>
          <w:sz w:val="24"/>
          <w:szCs w:val="28"/>
        </w:rPr>
        <w:t xml:space="preserve"> åsikt är dock att exportstödet också kunna ges som projektstöd för att förstärka kommunala och regionala satsningar och inte bara till företag som fungerar som mäklare mellan internationella marknader och svenska kulturaktörer.</w:t>
      </w:r>
    </w:p>
    <w:p w:rsidRPr="006723E7" w:rsidR="006723E7" w:rsidP="006723E7" w:rsidRDefault="006723E7" w14:paraId="66483237" w14:textId="2A7113E2">
      <w:pPr>
        <w:rPr>
          <w:rFonts w:ascii="Palatino Linotype" w:hAnsi="Palatino Linotype"/>
          <w:b/>
          <w:bCs/>
          <w:sz w:val="24"/>
          <w:szCs w:val="28"/>
        </w:rPr>
      </w:pPr>
      <w:r w:rsidRPr="006723E7">
        <w:rPr>
          <w:rFonts w:ascii="Palatino Linotype" w:hAnsi="Palatino Linotype"/>
          <w:b/>
          <w:bCs/>
          <w:sz w:val="24"/>
          <w:szCs w:val="28"/>
        </w:rPr>
        <w:lastRenderedPageBreak/>
        <w:t>Nationell samordning</w:t>
      </w:r>
      <w:r>
        <w:rPr>
          <w:rFonts w:ascii="Palatino Linotype" w:hAnsi="Palatino Linotype"/>
          <w:b/>
          <w:bCs/>
          <w:sz w:val="24"/>
          <w:szCs w:val="28"/>
        </w:rPr>
        <w:br/>
      </w:r>
      <w:r w:rsidRPr="006723E7">
        <w:rPr>
          <w:rFonts w:ascii="Palatino Linotype" w:hAnsi="Palatino Linotype"/>
          <w:sz w:val="24"/>
          <w:szCs w:val="28"/>
        </w:rPr>
        <w:t>Nationell samordning saknas idag, här bör regioner och kommuner aktiveras för att upprätthålla subsidiaritetsprincipen i frågorna.</w:t>
      </w:r>
    </w:p>
    <w:p w:rsidRPr="006723E7" w:rsidR="006723E7" w:rsidP="006723E7" w:rsidRDefault="006723E7" w14:paraId="43435972" w14:textId="6BFBE501">
      <w:pPr>
        <w:rPr>
          <w:rFonts w:ascii="Palatino Linotype" w:hAnsi="Palatino Linotype"/>
          <w:b/>
          <w:bCs/>
          <w:sz w:val="24"/>
          <w:szCs w:val="28"/>
        </w:rPr>
      </w:pPr>
      <w:r w:rsidRPr="006723E7">
        <w:rPr>
          <w:rFonts w:ascii="Palatino Linotype" w:hAnsi="Palatino Linotype"/>
          <w:b/>
          <w:bCs/>
          <w:sz w:val="24"/>
          <w:szCs w:val="28"/>
        </w:rPr>
        <w:t>Statistik</w:t>
      </w:r>
      <w:r>
        <w:rPr>
          <w:rFonts w:ascii="Palatino Linotype" w:hAnsi="Palatino Linotype"/>
          <w:b/>
          <w:bCs/>
          <w:sz w:val="24"/>
          <w:szCs w:val="28"/>
        </w:rPr>
        <w:br/>
      </w:r>
      <w:r w:rsidRPr="006723E7">
        <w:rPr>
          <w:rFonts w:ascii="Palatino Linotype" w:hAnsi="Palatino Linotype"/>
          <w:sz w:val="24"/>
          <w:szCs w:val="28"/>
        </w:rPr>
        <w:t>BRG välkomnar att en statlig myndighet återigen får i uppdrag att föra statistik över KKN. Utan ett sådant uppdrag är det svårt för kommuner och regioner att bibehålla metoder som ger jämförbara resultat.</w:t>
      </w:r>
    </w:p>
    <w:p w:rsidRPr="006723E7" w:rsidR="006723E7" w:rsidP="006723E7" w:rsidRDefault="006723E7" w14:paraId="6CC34D20" w14:textId="00801089">
      <w:pPr>
        <w:rPr>
          <w:rFonts w:ascii="Palatino Linotype" w:hAnsi="Palatino Linotype"/>
          <w:b/>
          <w:bCs/>
          <w:sz w:val="24"/>
          <w:szCs w:val="28"/>
        </w:rPr>
      </w:pPr>
      <w:r w:rsidRPr="006723E7">
        <w:rPr>
          <w:rFonts w:ascii="Palatino Linotype" w:hAnsi="Palatino Linotype"/>
          <w:b/>
          <w:bCs/>
          <w:sz w:val="24"/>
          <w:szCs w:val="28"/>
        </w:rPr>
        <w:t>Innovationsstöd</w:t>
      </w:r>
      <w:r>
        <w:rPr>
          <w:rFonts w:ascii="Palatino Linotype" w:hAnsi="Palatino Linotype"/>
          <w:b/>
          <w:bCs/>
          <w:sz w:val="24"/>
          <w:szCs w:val="28"/>
        </w:rPr>
        <w:br/>
      </w:r>
      <w:r w:rsidRPr="006723E7">
        <w:rPr>
          <w:rFonts w:ascii="Palatino Linotype" w:hAnsi="Palatino Linotype"/>
          <w:sz w:val="24"/>
          <w:szCs w:val="28"/>
        </w:rPr>
        <w:t xml:space="preserve">BRG ser positivt på att </w:t>
      </w:r>
      <w:proofErr w:type="spellStart"/>
      <w:r w:rsidRPr="006723E7">
        <w:rPr>
          <w:rFonts w:ascii="Palatino Linotype" w:hAnsi="Palatino Linotype"/>
          <w:sz w:val="24"/>
          <w:szCs w:val="28"/>
        </w:rPr>
        <w:t>Vinnova</w:t>
      </w:r>
      <w:proofErr w:type="spellEnd"/>
      <w:r w:rsidRPr="006723E7">
        <w:rPr>
          <w:rFonts w:ascii="Palatino Linotype" w:hAnsi="Palatino Linotype"/>
          <w:sz w:val="24"/>
          <w:szCs w:val="28"/>
        </w:rPr>
        <w:t xml:space="preserve"> får i uppdrag att ta fram förslag på hur den innovation som skapas inom KKN kan stödjas inom ramen för de områden som </w:t>
      </w:r>
      <w:proofErr w:type="spellStart"/>
      <w:r w:rsidRPr="006723E7">
        <w:rPr>
          <w:rFonts w:ascii="Palatino Linotype" w:hAnsi="Palatino Linotype"/>
          <w:sz w:val="24"/>
          <w:szCs w:val="28"/>
        </w:rPr>
        <w:t>Vinnova</w:t>
      </w:r>
      <w:proofErr w:type="spellEnd"/>
      <w:r w:rsidRPr="006723E7">
        <w:rPr>
          <w:rFonts w:ascii="Palatino Linotype" w:hAnsi="Palatino Linotype"/>
          <w:sz w:val="24"/>
          <w:szCs w:val="28"/>
        </w:rPr>
        <w:t xml:space="preserve"> arbetar med. Detta förslag bekräftar den utgångspunkt BRG har kring innovation och KKN: att</w:t>
      </w:r>
      <w:r>
        <w:rPr>
          <w:rFonts w:ascii="Palatino Linotype" w:hAnsi="Palatino Linotype"/>
          <w:sz w:val="24"/>
          <w:szCs w:val="28"/>
        </w:rPr>
        <w:t xml:space="preserve"> </w:t>
      </w:r>
      <w:r w:rsidRPr="006723E7">
        <w:rPr>
          <w:rFonts w:ascii="Palatino Linotype" w:hAnsi="Palatino Linotype"/>
          <w:sz w:val="24"/>
          <w:szCs w:val="28"/>
        </w:rPr>
        <w:t xml:space="preserve">KKN </w:t>
      </w:r>
      <w:r>
        <w:rPr>
          <w:rFonts w:ascii="Palatino Linotype" w:hAnsi="Palatino Linotype"/>
          <w:sz w:val="24"/>
          <w:szCs w:val="28"/>
        </w:rPr>
        <w:t>är viktiga för</w:t>
      </w:r>
      <w:r w:rsidRPr="006723E7">
        <w:rPr>
          <w:rFonts w:ascii="Palatino Linotype" w:hAnsi="Palatino Linotype"/>
          <w:sz w:val="24"/>
          <w:szCs w:val="28"/>
        </w:rPr>
        <w:t xml:space="preserve"> innovation.</w:t>
      </w:r>
    </w:p>
    <w:p w:rsidRPr="006723E7" w:rsidR="006723E7" w:rsidP="006723E7" w:rsidRDefault="006723E7" w14:paraId="1B1B802E" w14:textId="58BAAA65">
      <w:pPr>
        <w:rPr>
          <w:rFonts w:ascii="Palatino Linotype" w:hAnsi="Palatino Linotype"/>
          <w:b/>
          <w:bCs/>
          <w:sz w:val="24"/>
          <w:szCs w:val="28"/>
        </w:rPr>
      </w:pPr>
      <w:r w:rsidRPr="006723E7">
        <w:rPr>
          <w:rFonts w:ascii="Palatino Linotype" w:hAnsi="Palatino Linotype"/>
          <w:b/>
          <w:bCs/>
          <w:sz w:val="24"/>
          <w:szCs w:val="28"/>
        </w:rPr>
        <w:t>Kulturcheckar</w:t>
      </w:r>
      <w:r>
        <w:rPr>
          <w:rFonts w:ascii="Palatino Linotype" w:hAnsi="Palatino Linotype"/>
          <w:b/>
          <w:bCs/>
          <w:sz w:val="24"/>
          <w:szCs w:val="28"/>
        </w:rPr>
        <w:br/>
      </w:r>
      <w:r w:rsidRPr="006723E7">
        <w:rPr>
          <w:rFonts w:ascii="Palatino Linotype" w:hAnsi="Palatino Linotype"/>
          <w:sz w:val="24"/>
          <w:szCs w:val="28"/>
        </w:rPr>
        <w:t>Stimulansstöd i form av kulturcheckar är ett bra sätt att stötta de många kulturföretagare som har det svårt. Det bevarar den fria konkurrensen inom området, påminner allmänheten om den tillgängliga lokala kulturen samt återför vanan hos konsumenter som digitaliserat sin kulturkonsumtion.</w:t>
      </w:r>
    </w:p>
    <w:p w:rsidR="00CC7D3C" w:rsidP="000046E1" w:rsidRDefault="00CC7D3C" w14:paraId="5AD99C91" w14:textId="77777777">
      <w:pPr>
        <w:rPr>
          <w:rFonts w:ascii="Palatino Linotype" w:hAnsi="Palatino Linotype"/>
          <w:sz w:val="24"/>
          <w:szCs w:val="28"/>
        </w:rPr>
      </w:pPr>
    </w:p>
    <w:p w:rsidR="00CC7D3C" w:rsidP="000046E1" w:rsidRDefault="00CC7D3C" w14:paraId="69584C34" w14:textId="77777777">
      <w:pPr>
        <w:rPr>
          <w:rFonts w:ascii="Palatino Linotype" w:hAnsi="Palatino Linotype"/>
          <w:sz w:val="24"/>
          <w:szCs w:val="28"/>
        </w:rPr>
      </w:pPr>
      <w:r>
        <w:rPr>
          <w:rFonts w:ascii="Palatino Linotype" w:hAnsi="Palatino Linotype"/>
          <w:sz w:val="24"/>
          <w:szCs w:val="28"/>
        </w:rPr>
        <w:t>Patrik Andersson</w:t>
      </w:r>
    </w:p>
    <w:p w:rsidRPr="00436489" w:rsidR="00CC7D3C" w:rsidP="000046E1" w:rsidRDefault="00CC7D3C" w14:paraId="7B704572" w14:textId="77777777">
      <w:pPr>
        <w:rPr>
          <w:rFonts w:ascii="Palatino Linotype" w:hAnsi="Palatino Linotype"/>
          <w:sz w:val="24"/>
          <w:szCs w:val="28"/>
        </w:rPr>
      </w:pPr>
      <w:r>
        <w:rPr>
          <w:rFonts w:ascii="Palatino Linotype" w:hAnsi="Palatino Linotype"/>
          <w:sz w:val="24"/>
          <w:szCs w:val="28"/>
        </w:rPr>
        <w:t>Vd, Business Region Göteborg AB</w:t>
      </w:r>
    </w:p>
    <w:sectPr w:rsidRPr="00436489" w:rsidR="00CC7D3C" w:rsidSect="00E45A27">
      <w:headerReference w:type="default" r:id="rId11"/>
      <w:footerReference w:type="default" r:id="rId12"/>
      <w:headerReference w:type="first" r:id="rId13"/>
      <w:footerReference w:type="first" r:id="rId14"/>
      <w:pgSz w:w="11906" w:h="16838" w:orient="portrait" w:code="9"/>
      <w:pgMar w:top="1418" w:right="2552" w:bottom="141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257B" w:rsidP="00BF282B" w:rsidRDefault="00BE257B" w14:paraId="71F7EF66" w14:textId="77777777">
      <w:pPr>
        <w:spacing w:after="0" w:line="240" w:lineRule="auto"/>
      </w:pPr>
      <w:r>
        <w:separator/>
      </w:r>
    </w:p>
  </w:endnote>
  <w:endnote w:type="continuationSeparator" w:id="0">
    <w:p w:rsidR="00BE257B" w:rsidP="00BF282B" w:rsidRDefault="00BE257B" w14:paraId="7BCD2A46" w14:textId="77777777">
      <w:pPr>
        <w:spacing w:after="0" w:line="240" w:lineRule="auto"/>
      </w:pPr>
      <w:r>
        <w:continuationSeparator/>
      </w:r>
    </w:p>
  </w:endnote>
  <w:endnote w:type="continuationNotice" w:id="1">
    <w:p w:rsidR="00BE257B" w:rsidRDefault="00BE257B" w14:paraId="712E1D5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nt"/>
      <w:tblpPr w:leftFromText="142" w:rightFromText="142" w:vertAnchor="page" w:horzAnchor="margin" w:tblpY="15537"/>
      <w:tblOverlap w:val="never"/>
      <w:tblW w:w="9072" w:type="dxa"/>
      <w:tblBorders>
        <w:top w:val="single" w:color="4D4D4D" w:sz="4" w:space="0"/>
        <w:left w:val="none" w:color="auto" w:sz="0" w:space="0"/>
        <w:bottom w:val="none" w:color="auto" w:sz="0" w:space="0"/>
        <w:right w:val="none" w:color="auto" w:sz="0" w:space="0"/>
        <w:insideH w:val="none" w:color="auto" w:sz="0" w:space="0"/>
        <w:insideV w:val="none" w:color="auto" w:sz="0" w:space="0"/>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Pr="009B4E2A" w:rsidR="00E92E25" w:rsidTr="00EA4A38" w14:paraId="5C30672F" w14:textId="77777777">
      <w:tc>
        <w:tcPr>
          <w:tcW w:w="7155" w:type="dxa"/>
          <w:gridSpan w:val="2"/>
          <w:tcBorders>
            <w:top w:val="nil"/>
          </w:tcBorders>
        </w:tcPr>
        <w:p w:rsidRPr="00EA4A38" w:rsidR="00E92E25" w:rsidP="00EA4A38" w:rsidRDefault="00B4215B" w14:paraId="102FC1B6" w14:textId="77777777">
          <w:pPr>
            <w:pStyle w:val="Sidfot"/>
            <w:rPr>
              <w:b/>
              <w:bCs/>
              <w:color w:val="3B5776"/>
              <w:sz w:val="14"/>
              <w:szCs w:val="20"/>
            </w:rPr>
          </w:pPr>
          <w:r w:rsidRPr="00EA4A38">
            <w:rPr>
              <w:b/>
              <w:bCs/>
              <w:color w:val="3B5776"/>
              <w:sz w:val="14"/>
              <w:szCs w:val="20"/>
            </w:rPr>
            <w:t xml:space="preserve"> </w:t>
          </w:r>
          <w:r w:rsidR="00CC7D3C">
            <w:rPr>
              <w:b/>
              <w:bCs/>
              <w:color w:val="3B5776"/>
              <w:sz w:val="14"/>
              <w:szCs w:val="20"/>
            </w:rPr>
            <w:t xml:space="preserve">Beslutsunderlag </w:t>
          </w:r>
        </w:p>
      </w:tc>
      <w:tc>
        <w:tcPr>
          <w:tcW w:w="1917" w:type="dxa"/>
          <w:tcBorders>
            <w:top w:val="nil"/>
          </w:tcBorders>
        </w:tcPr>
        <w:p w:rsidRPr="009B4E2A" w:rsidR="00E92E25" w:rsidP="00EA4A38" w:rsidRDefault="00E92E25" w14:paraId="13270D28" w14:textId="77777777">
          <w:pPr>
            <w:pStyle w:val="Sidfot"/>
            <w:jc w:val="right"/>
          </w:pPr>
        </w:p>
      </w:tc>
    </w:tr>
    <w:tr w:rsidR="00F66187" w:rsidTr="00EA4A38" w14:paraId="1E1E9184" w14:textId="77777777">
      <w:tc>
        <w:tcPr>
          <w:tcW w:w="3338" w:type="dxa"/>
          <w:tcBorders>
            <w:top w:val="nil"/>
          </w:tcBorders>
        </w:tcPr>
        <w:p w:rsidRPr="00F66187" w:rsidR="00F66187" w:rsidP="00EA4A38" w:rsidRDefault="00F66187" w14:paraId="47F363FE" w14:textId="77777777">
          <w:pPr>
            <w:pStyle w:val="Sidfot"/>
            <w:rPr>
              <w:rStyle w:val="Platshllartext"/>
              <w:color w:val="auto"/>
            </w:rPr>
          </w:pPr>
        </w:p>
      </w:tc>
      <w:tc>
        <w:tcPr>
          <w:tcW w:w="3817" w:type="dxa"/>
          <w:tcBorders>
            <w:top w:val="nil"/>
          </w:tcBorders>
        </w:tcPr>
        <w:p w:rsidR="00F66187" w:rsidP="00EA4A38" w:rsidRDefault="00F66187" w14:paraId="5F4FF305" w14:textId="77777777">
          <w:pPr>
            <w:pStyle w:val="Sidfot"/>
          </w:pPr>
        </w:p>
      </w:tc>
      <w:tc>
        <w:tcPr>
          <w:tcW w:w="1917" w:type="dxa"/>
          <w:tcBorders>
            <w:top w:val="nil"/>
          </w:tcBorders>
        </w:tcPr>
        <w:p w:rsidR="00F66187" w:rsidP="00EA4A38" w:rsidRDefault="00F66187" w14:paraId="192AE84D" w14:textId="77777777">
          <w:pPr>
            <w:pStyle w:val="Sidfot"/>
            <w:jc w:val="right"/>
          </w:pPr>
        </w:p>
      </w:tc>
    </w:tr>
    <w:tr w:rsidR="00F66187" w:rsidTr="00EA4A38" w14:paraId="59F7F8FE" w14:textId="77777777">
      <w:tc>
        <w:tcPr>
          <w:tcW w:w="3338" w:type="dxa"/>
          <w:tcBorders>
            <w:top w:val="nil"/>
          </w:tcBorders>
        </w:tcPr>
        <w:p w:rsidR="00F66187" w:rsidP="00EA4A38" w:rsidRDefault="00F66187" w14:paraId="15C129A1" w14:textId="77777777">
          <w:pPr>
            <w:pStyle w:val="Sidfot"/>
          </w:pPr>
        </w:p>
      </w:tc>
      <w:tc>
        <w:tcPr>
          <w:tcW w:w="3817" w:type="dxa"/>
          <w:tcBorders>
            <w:top w:val="nil"/>
          </w:tcBorders>
        </w:tcPr>
        <w:p w:rsidR="00F66187" w:rsidP="00EA4A38" w:rsidRDefault="00F66187" w14:paraId="2E66D391" w14:textId="77777777">
          <w:pPr>
            <w:pStyle w:val="Sidfot"/>
          </w:pPr>
        </w:p>
      </w:tc>
      <w:tc>
        <w:tcPr>
          <w:tcW w:w="1917" w:type="dxa"/>
        </w:tcPr>
        <w:p w:rsidR="00F66187" w:rsidP="00EA4A38" w:rsidRDefault="00F66187" w14:paraId="39CF1F7E" w14:textId="77777777">
          <w:pPr>
            <w:pStyle w:val="Sidfot"/>
            <w:jc w:val="right"/>
          </w:pPr>
        </w:p>
      </w:tc>
    </w:tr>
  </w:tbl>
  <w:p w:rsidRPr="00F66187" w:rsidR="00F57801" w:rsidRDefault="005A3472" w14:paraId="19180869" w14:textId="77777777">
    <w:pPr>
      <w:pStyle w:val="Sidfot"/>
      <w:rPr>
        <w:sz w:val="2"/>
        <w:szCs w:val="2"/>
      </w:rPr>
    </w:pPr>
    <w:r>
      <w:rPr>
        <w:noProof/>
      </w:rPr>
      <w:drawing>
        <wp:anchor distT="0" distB="0" distL="114300" distR="114300" simplePos="0" relativeHeight="251658241" behindDoc="0" locked="0" layoutInCell="1" allowOverlap="1" wp14:anchorId="062234E8" wp14:editId="6954644C">
          <wp:simplePos x="0" y="0"/>
          <wp:positionH relativeFrom="column">
            <wp:posOffset>4514850</wp:posOffset>
          </wp:positionH>
          <wp:positionV relativeFrom="bottomMargin">
            <wp:posOffset>-169545</wp:posOffset>
          </wp:positionV>
          <wp:extent cx="1056640" cy="678180"/>
          <wp:effectExtent l="0" t="0" r="0" b="7620"/>
          <wp:wrapNone/>
          <wp:docPr id="1"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nt"/>
      <w:tblpPr w:leftFromText="142" w:rightFromText="142" w:vertAnchor="page" w:horzAnchor="page" w:tblpX="1419" w:tblpY="15537"/>
      <w:tblOverlap w:val="never"/>
      <w:tblW w:w="9072" w:type="dxa"/>
      <w:tblBorders>
        <w:top w:val="single" w:color="4D4D4D" w:sz="4" w:space="0"/>
        <w:left w:val="none" w:color="auto" w:sz="0" w:space="0"/>
        <w:bottom w:val="none" w:color="auto" w:sz="0" w:space="0"/>
        <w:right w:val="none" w:color="auto" w:sz="0" w:space="0"/>
        <w:insideH w:val="none" w:color="auto" w:sz="0" w:space="0"/>
        <w:insideV w:val="none" w:color="auto" w:sz="0" w:space="0"/>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Pr="009B4E2A" w:rsidR="00FB3384" w:rsidTr="00F74766" w14:paraId="1CCF4D2E" w14:textId="77777777">
      <w:tc>
        <w:tcPr>
          <w:tcW w:w="7118" w:type="dxa"/>
          <w:gridSpan w:val="2"/>
          <w:tcBorders>
            <w:top w:val="nil"/>
          </w:tcBorders>
        </w:tcPr>
        <w:p w:rsidRPr="00F74766" w:rsidR="00F74766" w:rsidP="00F74766" w:rsidRDefault="00BE257B" w14:paraId="486729FE" w14:textId="77777777">
          <w:pPr>
            <w:spacing w:after="60"/>
            <w:rPr>
              <w:rFonts w:ascii="Arial" w:hAnsi="Arial" w:eastAsia="Palatino Linotype" w:cs="Arial"/>
              <w:sz w:val="14"/>
              <w:szCs w:val="22"/>
            </w:rPr>
          </w:pPr>
          <w:sdt>
            <w:sdtPr>
              <w:rPr>
                <w:rFonts w:ascii="Arial" w:hAnsi="Arial" w:eastAsia="Palatino Linotype"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r w:rsidR="007E6C0F">
                <w:rPr>
                  <w:rFonts w:ascii="Arial" w:hAnsi="Arial" w:eastAsia="Palatino Linotype" w:cs="Arial"/>
                  <w:b/>
                  <w:caps/>
                  <w:color w:val="3B5776"/>
                  <w:sz w:val="14"/>
                  <w:szCs w:val="22"/>
                </w:rPr>
                <w:t>BUSINESS REGION GÖTEBORG AB</w:t>
              </w:r>
            </w:sdtContent>
          </w:sdt>
          <w:r w:rsidRPr="00F74766" w:rsidR="00F74766">
            <w:rPr>
              <w:rFonts w:ascii="Arial" w:hAnsi="Arial" w:eastAsia="Palatino Linotype" w:cs="Arial"/>
              <w:b/>
              <w:caps/>
              <w:color w:val="3B5776"/>
              <w:sz w:val="14"/>
              <w:szCs w:val="22"/>
            </w:rPr>
            <w:t xml:space="preserve"> </w:t>
          </w:r>
          <w:r w:rsidR="00B4215B">
            <w:rPr>
              <w:rFonts w:ascii="Arial" w:hAnsi="Arial" w:eastAsia="Palatino Linotype" w:cs="Arial"/>
              <w:b/>
              <w:caps/>
              <w:color w:val="3B5776"/>
              <w:sz w:val="14"/>
              <w:szCs w:val="22"/>
            </w:rPr>
            <w:br/>
          </w:r>
          <w:r w:rsidRPr="00F74766" w:rsidR="00F74766">
            <w:rPr>
              <w:rFonts w:ascii="Arial" w:hAnsi="Arial" w:eastAsia="Palatino Linotype" w:cs="Arial"/>
              <w:sz w:val="14"/>
              <w:szCs w:val="22"/>
            </w:rPr>
            <w:t>Besöksadress: Östra Hamngatan 5, Postadress: Box 11119, 404 23 Göteborg</w:t>
          </w:r>
          <w:r w:rsidRPr="00F74766" w:rsidR="00F74766">
            <w:rPr>
              <w:rFonts w:ascii="Arial" w:hAnsi="Arial" w:eastAsia="Palatino Linotype" w:cs="Arial"/>
              <w:sz w:val="14"/>
              <w:szCs w:val="22"/>
            </w:rPr>
            <w:br/>
          </w:r>
          <w:proofErr w:type="gramStart"/>
          <w:r w:rsidRPr="00F74766" w:rsidR="00F74766">
            <w:rPr>
              <w:rFonts w:ascii="Arial" w:hAnsi="Arial" w:eastAsia="Palatino Linotype" w:cs="Arial"/>
              <w:sz w:val="14"/>
              <w:szCs w:val="22"/>
            </w:rPr>
            <w:t>Telefon växel</w:t>
          </w:r>
          <w:proofErr w:type="gramEnd"/>
          <w:r w:rsidRPr="00F74766" w:rsidR="00F74766">
            <w:rPr>
              <w:rFonts w:ascii="Arial" w:hAnsi="Arial" w:eastAsia="Palatino Linotype" w:cs="Arial"/>
              <w:sz w:val="14"/>
              <w:szCs w:val="22"/>
            </w:rPr>
            <w:t>: 031-367 61 00, www.businessregiongoteborg.se</w:t>
          </w:r>
        </w:p>
        <w:p w:rsidRPr="00F74766" w:rsidR="00F74766" w:rsidP="00F74766" w:rsidRDefault="00F74766" w14:paraId="38C2DA34" w14:textId="77777777">
          <w:pPr>
            <w:spacing w:line="259" w:lineRule="auto"/>
            <w:rPr>
              <w:rFonts w:ascii="Arial" w:hAnsi="Arial" w:eastAsia="Palatino Linotype" w:cs="Arial"/>
              <w:sz w:val="14"/>
              <w:szCs w:val="22"/>
            </w:rPr>
          </w:pPr>
          <w:r w:rsidRPr="00F74766">
            <w:rPr>
              <w:rFonts w:ascii="Arial" w:hAnsi="Arial" w:eastAsia="Palatino Linotype" w:cs="Arial"/>
              <w:sz w:val="14"/>
              <w:szCs w:val="22"/>
            </w:rPr>
            <w:t>BUSINESS REGION GÖTEBORG – EN DEL AV GÖTEBORGS STAD I SAMARBETE MED REGIONEN</w:t>
          </w:r>
        </w:p>
        <w:p w:rsidRPr="009B4E2A" w:rsidR="00FB3384" w:rsidP="00BD0663" w:rsidRDefault="00FB3384" w14:paraId="2639CA12" w14:textId="77777777">
          <w:pPr>
            <w:pStyle w:val="Sidfot"/>
          </w:pPr>
        </w:p>
      </w:tc>
      <w:tc>
        <w:tcPr>
          <w:tcW w:w="1954" w:type="dxa"/>
          <w:tcBorders>
            <w:top w:val="nil"/>
          </w:tcBorders>
        </w:tcPr>
        <w:p w:rsidRPr="009B4E2A" w:rsidR="00FB3384" w:rsidP="00BD0663" w:rsidRDefault="00B4215B" w14:paraId="1209CB77" w14:textId="77777777">
          <w:pPr>
            <w:pStyle w:val="Sidfot"/>
            <w:jc w:val="right"/>
          </w:pPr>
          <w:r>
            <w:rPr>
              <w:noProof/>
            </w:rPr>
            <w:drawing>
              <wp:anchor distT="0" distB="0" distL="114300" distR="114300" simplePos="0" relativeHeight="251658240" behindDoc="0" locked="0" layoutInCell="1" allowOverlap="1" wp14:anchorId="6598A467" wp14:editId="2BE7F9BB">
                <wp:simplePos x="0" y="0"/>
                <wp:positionH relativeFrom="column">
                  <wp:posOffset>4445</wp:posOffset>
                </wp:positionH>
                <wp:positionV relativeFrom="bottomMargin">
                  <wp:posOffset>6350</wp:posOffset>
                </wp:positionV>
                <wp:extent cx="1056640" cy="678180"/>
                <wp:effectExtent l="0" t="0" r="0" b="7620"/>
                <wp:wrapNone/>
                <wp:docPr id="3"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384" w:rsidTr="00F74766" w14:paraId="3865167B" w14:textId="77777777">
      <w:tc>
        <w:tcPr>
          <w:tcW w:w="3319" w:type="dxa"/>
          <w:tcBorders>
            <w:top w:val="nil"/>
          </w:tcBorders>
        </w:tcPr>
        <w:p w:rsidRPr="00F66187" w:rsidR="00FB3384" w:rsidP="00BD0663" w:rsidRDefault="00FB3384" w14:paraId="57D092FC" w14:textId="77777777">
          <w:pPr>
            <w:pStyle w:val="Sidfot"/>
            <w:rPr>
              <w:rStyle w:val="Platshllartext"/>
              <w:color w:val="auto"/>
            </w:rPr>
          </w:pPr>
        </w:p>
      </w:tc>
      <w:tc>
        <w:tcPr>
          <w:tcW w:w="3799" w:type="dxa"/>
          <w:tcBorders>
            <w:top w:val="nil"/>
          </w:tcBorders>
        </w:tcPr>
        <w:p w:rsidR="00FB3384" w:rsidP="00BD0663" w:rsidRDefault="00FB3384" w14:paraId="77A3AD01" w14:textId="77777777">
          <w:pPr>
            <w:pStyle w:val="Sidfot"/>
          </w:pPr>
        </w:p>
      </w:tc>
      <w:tc>
        <w:tcPr>
          <w:tcW w:w="1954" w:type="dxa"/>
          <w:vMerge w:val="restart"/>
          <w:tcBorders>
            <w:top w:val="nil"/>
          </w:tcBorders>
          <w:vAlign w:val="bottom"/>
        </w:tcPr>
        <w:p w:rsidR="00FB3384" w:rsidP="00FB3384" w:rsidRDefault="00FB3384" w14:paraId="5D30E8F0" w14:textId="77777777">
          <w:pPr>
            <w:pStyle w:val="Sidfot"/>
            <w:jc w:val="right"/>
          </w:pPr>
        </w:p>
      </w:tc>
    </w:tr>
    <w:tr w:rsidR="00FB3384" w:rsidTr="4D534CDD" w14:paraId="42F2F3DE" w14:textId="77777777">
      <w:tc>
        <w:tcPr>
          <w:tcW w:w="3319" w:type="dxa"/>
          <w:tcBorders>
            <w:top w:val="nil"/>
          </w:tcBorders>
        </w:tcPr>
        <w:p w:rsidR="00FB3384" w:rsidP="00BD0663" w:rsidRDefault="00FB3384" w14:paraId="191C379D" w14:textId="77777777">
          <w:pPr>
            <w:pStyle w:val="Sidfot"/>
          </w:pPr>
        </w:p>
      </w:tc>
      <w:tc>
        <w:tcPr>
          <w:tcW w:w="3799" w:type="dxa"/>
          <w:tcBorders>
            <w:top w:val="nil"/>
          </w:tcBorders>
        </w:tcPr>
        <w:p w:rsidR="00FB3384" w:rsidP="00BD0663" w:rsidRDefault="00FB3384" w14:paraId="6A8E4E16" w14:textId="77777777">
          <w:pPr>
            <w:pStyle w:val="Sidfot"/>
          </w:pPr>
        </w:p>
      </w:tc>
      <w:tc>
        <w:tcPr>
          <w:tcW w:w="1954" w:type="dxa"/>
          <w:vMerge/>
        </w:tcPr>
        <w:p w:rsidR="00FB3384" w:rsidP="00BD0663" w:rsidRDefault="00FB3384" w14:paraId="705689D7" w14:textId="77777777">
          <w:pPr>
            <w:pStyle w:val="Sidfot"/>
            <w:jc w:val="right"/>
          </w:pPr>
        </w:p>
      </w:tc>
    </w:tr>
  </w:tbl>
  <w:p w:rsidR="00BD0663" w:rsidP="00E45A27" w:rsidRDefault="00E45A27" w14:paraId="7D8261BD" w14:textId="77777777">
    <w:pPr>
      <w:pStyle w:val="Sidfot"/>
      <w:tabs>
        <w:tab w:val="clear" w:pos="4513"/>
        <w:tab w:val="clear" w:pos="9026"/>
        <w:tab w:val="left" w:pos="4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257B" w:rsidP="00BF282B" w:rsidRDefault="00BE257B" w14:paraId="195C5F29" w14:textId="77777777">
      <w:pPr>
        <w:spacing w:after="0" w:line="240" w:lineRule="auto"/>
      </w:pPr>
      <w:r>
        <w:separator/>
      </w:r>
    </w:p>
  </w:footnote>
  <w:footnote w:type="continuationSeparator" w:id="0">
    <w:p w:rsidR="00BE257B" w:rsidP="00BF282B" w:rsidRDefault="00BE257B" w14:paraId="3C05E228" w14:textId="77777777">
      <w:pPr>
        <w:spacing w:after="0" w:line="240" w:lineRule="auto"/>
      </w:pPr>
      <w:r>
        <w:continuationSeparator/>
      </w:r>
    </w:p>
  </w:footnote>
  <w:footnote w:type="continuationNotice" w:id="1">
    <w:p w:rsidR="00BE257B" w:rsidRDefault="00BE257B" w14:paraId="50D2B6D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42304"/>
      <w:docPartObj>
        <w:docPartGallery w:val="Page Numbers (Top of Page)"/>
        <w:docPartUnique/>
      </w:docPartObj>
    </w:sdtPr>
    <w:sdtEndPr>
      <w:rPr>
        <w:sz w:val="18"/>
        <w:szCs w:val="18"/>
      </w:rPr>
    </w:sdtEndPr>
    <w:sdtContent>
      <w:p w:rsidRPr="00E45A27" w:rsidR="00E45A27" w:rsidRDefault="00E45A27" w14:paraId="23390674" w14:textId="77777777">
        <w:pPr>
          <w:pStyle w:val="Sidhuvud"/>
          <w:jc w:val="right"/>
          <w:rPr>
            <w:sz w:val="18"/>
            <w:szCs w:val="18"/>
          </w:rPr>
        </w:pPr>
        <w:r w:rsidRPr="00E45A27">
          <w:rPr>
            <w:sz w:val="18"/>
            <w:szCs w:val="18"/>
          </w:rPr>
          <w:t xml:space="preserve">Sida </w:t>
        </w:r>
        <w:r w:rsidRPr="00E45A27">
          <w:rPr>
            <w:sz w:val="18"/>
            <w:szCs w:val="18"/>
          </w:rPr>
          <w:fldChar w:fldCharType="begin"/>
        </w:r>
        <w:r w:rsidRPr="00E45A27">
          <w:rPr>
            <w:sz w:val="18"/>
            <w:szCs w:val="18"/>
          </w:rPr>
          <w:instrText>PAGE</w:instrText>
        </w:r>
        <w:r w:rsidRPr="00E45A27">
          <w:rPr>
            <w:sz w:val="18"/>
            <w:szCs w:val="18"/>
          </w:rPr>
          <w:fldChar w:fldCharType="separate"/>
        </w:r>
        <w:r w:rsidRPr="00E45A27">
          <w:rPr>
            <w:sz w:val="18"/>
            <w:szCs w:val="18"/>
          </w:rPr>
          <w:t>2</w:t>
        </w:r>
        <w:r w:rsidRPr="00E45A27">
          <w:rPr>
            <w:sz w:val="18"/>
            <w:szCs w:val="18"/>
          </w:rPr>
          <w:fldChar w:fldCharType="end"/>
        </w:r>
        <w:r w:rsidRPr="00E45A27">
          <w:rPr>
            <w:sz w:val="18"/>
            <w:szCs w:val="18"/>
          </w:rPr>
          <w:t xml:space="preserve"> av </w:t>
        </w:r>
        <w:r w:rsidRPr="00E45A27">
          <w:rPr>
            <w:sz w:val="18"/>
            <w:szCs w:val="18"/>
          </w:rPr>
          <w:fldChar w:fldCharType="begin"/>
        </w:r>
        <w:r w:rsidRPr="00E45A27">
          <w:rPr>
            <w:sz w:val="18"/>
            <w:szCs w:val="18"/>
          </w:rPr>
          <w:instrText>NUMPAGES</w:instrText>
        </w:r>
        <w:r w:rsidRPr="00E45A27">
          <w:rPr>
            <w:sz w:val="18"/>
            <w:szCs w:val="18"/>
          </w:rPr>
          <w:fldChar w:fldCharType="separate"/>
        </w:r>
        <w:r w:rsidRPr="00E45A27">
          <w:rPr>
            <w:sz w:val="18"/>
            <w:szCs w:val="18"/>
          </w:rPr>
          <w:t>2</w:t>
        </w:r>
        <w:r w:rsidRPr="00E45A27">
          <w:rPr>
            <w:sz w:val="18"/>
            <w:szCs w:val="18"/>
          </w:rPr>
          <w:fldChar w:fldCharType="end"/>
        </w:r>
      </w:p>
    </w:sdtContent>
  </w:sdt>
  <w:p w:rsidR="00B4215B" w:rsidRDefault="00B4215B" w14:paraId="5DB95B11"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ajorHAnsi"/>
        <w:sz w:val="18"/>
        <w:szCs w:val="18"/>
      </w:rPr>
      <w:id w:val="-1318336367"/>
      <w:docPartObj>
        <w:docPartGallery w:val="Page Numbers (Top of Page)"/>
        <w:docPartUnique/>
      </w:docPartObj>
    </w:sdtPr>
    <w:sdtEndPr>
      <w:rPr>
        <w:rFonts w:cstheme="minorBidi"/>
        <w:sz w:val="22"/>
        <w:szCs w:val="24"/>
      </w:rPr>
    </w:sdtEndPr>
    <w:sdtContent>
      <w:p w:rsidR="00E45A27" w:rsidRDefault="00E45A27" w14:paraId="16FB5D76" w14:textId="77777777">
        <w:pPr>
          <w:pStyle w:val="Sidhuvud"/>
          <w:jc w:val="right"/>
        </w:pPr>
        <w:r w:rsidRPr="00E45A27">
          <w:rPr>
            <w:rFonts w:cstheme="majorHAnsi"/>
            <w:sz w:val="18"/>
            <w:szCs w:val="18"/>
          </w:rPr>
          <w:t xml:space="preserve">Sida </w:t>
        </w:r>
        <w:r w:rsidRPr="00E45A27">
          <w:rPr>
            <w:rFonts w:cstheme="majorHAnsi"/>
            <w:sz w:val="18"/>
            <w:szCs w:val="18"/>
          </w:rPr>
          <w:fldChar w:fldCharType="begin"/>
        </w:r>
        <w:r w:rsidRPr="00E45A27">
          <w:rPr>
            <w:rFonts w:cstheme="majorHAnsi"/>
            <w:sz w:val="18"/>
            <w:szCs w:val="18"/>
          </w:rPr>
          <w:instrText>PAGE</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r w:rsidRPr="00E45A27">
          <w:rPr>
            <w:rFonts w:cstheme="majorHAnsi"/>
            <w:sz w:val="18"/>
            <w:szCs w:val="18"/>
          </w:rPr>
          <w:t xml:space="preserve"> av </w:t>
        </w:r>
        <w:r w:rsidRPr="00E45A27">
          <w:rPr>
            <w:rFonts w:cstheme="majorHAnsi"/>
            <w:sz w:val="18"/>
            <w:szCs w:val="18"/>
          </w:rPr>
          <w:fldChar w:fldCharType="begin"/>
        </w:r>
        <w:r w:rsidRPr="00E45A27">
          <w:rPr>
            <w:rFonts w:cstheme="majorHAnsi"/>
            <w:sz w:val="18"/>
            <w:szCs w:val="18"/>
          </w:rPr>
          <w:instrText>NUMPAGES</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p>
    </w:sdtContent>
  </w:sdt>
  <w:p w:rsidR="00F74766" w:rsidRDefault="00F74766" w14:paraId="443D3F33"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87EE6"/>
    <w:multiLevelType w:val="hybridMultilevel"/>
    <w:tmpl w:val="28A82CF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2"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4"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5900E7A"/>
    <w:multiLevelType w:val="hybridMultilevel"/>
    <w:tmpl w:val="36025870"/>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6"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F87C8C"/>
    <w:rsid w:val="000046E1"/>
    <w:rsid w:val="00046AF4"/>
    <w:rsid w:val="00066469"/>
    <w:rsid w:val="000707CC"/>
    <w:rsid w:val="00076799"/>
    <w:rsid w:val="00096029"/>
    <w:rsid w:val="000961A1"/>
    <w:rsid w:val="000A0146"/>
    <w:rsid w:val="000C68BA"/>
    <w:rsid w:val="000F2B85"/>
    <w:rsid w:val="000F3C0C"/>
    <w:rsid w:val="00106459"/>
    <w:rsid w:val="0011061F"/>
    <w:rsid w:val="0011381D"/>
    <w:rsid w:val="00113986"/>
    <w:rsid w:val="0012181D"/>
    <w:rsid w:val="00142FEF"/>
    <w:rsid w:val="00153B6E"/>
    <w:rsid w:val="00173F0C"/>
    <w:rsid w:val="001C2218"/>
    <w:rsid w:val="001D645F"/>
    <w:rsid w:val="001E56ED"/>
    <w:rsid w:val="002241FC"/>
    <w:rsid w:val="00230280"/>
    <w:rsid w:val="00241F59"/>
    <w:rsid w:val="00243F1D"/>
    <w:rsid w:val="00257F49"/>
    <w:rsid w:val="00277F81"/>
    <w:rsid w:val="00291BE0"/>
    <w:rsid w:val="00297C5E"/>
    <w:rsid w:val="002B2AFC"/>
    <w:rsid w:val="00311AF1"/>
    <w:rsid w:val="003164EC"/>
    <w:rsid w:val="00324D8E"/>
    <w:rsid w:val="00332A7F"/>
    <w:rsid w:val="003413FA"/>
    <w:rsid w:val="0034636D"/>
    <w:rsid w:val="00350FEF"/>
    <w:rsid w:val="00372CB4"/>
    <w:rsid w:val="003B4714"/>
    <w:rsid w:val="003E1C65"/>
    <w:rsid w:val="00414E79"/>
    <w:rsid w:val="00415151"/>
    <w:rsid w:val="00436489"/>
    <w:rsid w:val="00440D30"/>
    <w:rsid w:val="00473C11"/>
    <w:rsid w:val="00476454"/>
    <w:rsid w:val="004A5252"/>
    <w:rsid w:val="004B2272"/>
    <w:rsid w:val="004B287C"/>
    <w:rsid w:val="004C0571"/>
    <w:rsid w:val="004C78B0"/>
    <w:rsid w:val="004C7B08"/>
    <w:rsid w:val="004E31DE"/>
    <w:rsid w:val="004F5130"/>
    <w:rsid w:val="00521790"/>
    <w:rsid w:val="0053417A"/>
    <w:rsid w:val="00545C65"/>
    <w:rsid w:val="005729A0"/>
    <w:rsid w:val="00592351"/>
    <w:rsid w:val="00597ACB"/>
    <w:rsid w:val="005A3472"/>
    <w:rsid w:val="005B0BD0"/>
    <w:rsid w:val="005E0764"/>
    <w:rsid w:val="005E6622"/>
    <w:rsid w:val="005F3ECC"/>
    <w:rsid w:val="005F5390"/>
    <w:rsid w:val="00603751"/>
    <w:rsid w:val="00613965"/>
    <w:rsid w:val="006350F7"/>
    <w:rsid w:val="00654ADA"/>
    <w:rsid w:val="0067141B"/>
    <w:rsid w:val="006723E7"/>
    <w:rsid w:val="00673DB8"/>
    <w:rsid w:val="006839B4"/>
    <w:rsid w:val="00690A7F"/>
    <w:rsid w:val="006945D3"/>
    <w:rsid w:val="006E1F42"/>
    <w:rsid w:val="006F1BBA"/>
    <w:rsid w:val="006F1DFA"/>
    <w:rsid w:val="006F4591"/>
    <w:rsid w:val="006F5D19"/>
    <w:rsid w:val="00705DBC"/>
    <w:rsid w:val="00720B05"/>
    <w:rsid w:val="00722CCF"/>
    <w:rsid w:val="00732F6D"/>
    <w:rsid w:val="00766929"/>
    <w:rsid w:val="00770200"/>
    <w:rsid w:val="007A447B"/>
    <w:rsid w:val="007C2303"/>
    <w:rsid w:val="007D2794"/>
    <w:rsid w:val="007E234D"/>
    <w:rsid w:val="007E6C0F"/>
    <w:rsid w:val="007F1268"/>
    <w:rsid w:val="00831E91"/>
    <w:rsid w:val="008574C0"/>
    <w:rsid w:val="008760F6"/>
    <w:rsid w:val="008B0468"/>
    <w:rsid w:val="008B52AE"/>
    <w:rsid w:val="008E5D57"/>
    <w:rsid w:val="009003DD"/>
    <w:rsid w:val="00931374"/>
    <w:rsid w:val="009433F3"/>
    <w:rsid w:val="00984288"/>
    <w:rsid w:val="00985ACB"/>
    <w:rsid w:val="009970AC"/>
    <w:rsid w:val="009B4E2A"/>
    <w:rsid w:val="009B68FB"/>
    <w:rsid w:val="009C227B"/>
    <w:rsid w:val="009D0B6A"/>
    <w:rsid w:val="009D4D5C"/>
    <w:rsid w:val="009D765D"/>
    <w:rsid w:val="009F7400"/>
    <w:rsid w:val="00A0410B"/>
    <w:rsid w:val="00A074B5"/>
    <w:rsid w:val="00A24374"/>
    <w:rsid w:val="00A31F82"/>
    <w:rsid w:val="00A345C1"/>
    <w:rsid w:val="00A3668C"/>
    <w:rsid w:val="00A412C3"/>
    <w:rsid w:val="00A44549"/>
    <w:rsid w:val="00A47AD9"/>
    <w:rsid w:val="00A53D9E"/>
    <w:rsid w:val="00A8112E"/>
    <w:rsid w:val="00AA0284"/>
    <w:rsid w:val="00AA4EE3"/>
    <w:rsid w:val="00AB0164"/>
    <w:rsid w:val="00AD421F"/>
    <w:rsid w:val="00AE5147"/>
    <w:rsid w:val="00AE5F41"/>
    <w:rsid w:val="00AF4FDF"/>
    <w:rsid w:val="00B23428"/>
    <w:rsid w:val="00B30CFF"/>
    <w:rsid w:val="00B353ED"/>
    <w:rsid w:val="00B4215B"/>
    <w:rsid w:val="00B456FF"/>
    <w:rsid w:val="00B63E0E"/>
    <w:rsid w:val="00B94C9B"/>
    <w:rsid w:val="00BA1320"/>
    <w:rsid w:val="00BC3912"/>
    <w:rsid w:val="00BC5A4E"/>
    <w:rsid w:val="00BD0663"/>
    <w:rsid w:val="00BE257B"/>
    <w:rsid w:val="00BF282B"/>
    <w:rsid w:val="00C0363D"/>
    <w:rsid w:val="00C0476E"/>
    <w:rsid w:val="00C407B2"/>
    <w:rsid w:val="00C417C9"/>
    <w:rsid w:val="00C62500"/>
    <w:rsid w:val="00C76517"/>
    <w:rsid w:val="00C85A21"/>
    <w:rsid w:val="00C9312B"/>
    <w:rsid w:val="00CC1B40"/>
    <w:rsid w:val="00CC7D3C"/>
    <w:rsid w:val="00CF287A"/>
    <w:rsid w:val="00D21D96"/>
    <w:rsid w:val="00D22966"/>
    <w:rsid w:val="00D831F0"/>
    <w:rsid w:val="00DA1AEE"/>
    <w:rsid w:val="00DC59E4"/>
    <w:rsid w:val="00DC6E79"/>
    <w:rsid w:val="00DF152D"/>
    <w:rsid w:val="00E11731"/>
    <w:rsid w:val="00E127F8"/>
    <w:rsid w:val="00E134DC"/>
    <w:rsid w:val="00E24D89"/>
    <w:rsid w:val="00E4286C"/>
    <w:rsid w:val="00E449FB"/>
    <w:rsid w:val="00E45A27"/>
    <w:rsid w:val="00E538C0"/>
    <w:rsid w:val="00E54C6C"/>
    <w:rsid w:val="00E54DEA"/>
    <w:rsid w:val="00E6226E"/>
    <w:rsid w:val="00E90B45"/>
    <w:rsid w:val="00E91C73"/>
    <w:rsid w:val="00E92E25"/>
    <w:rsid w:val="00EA4A38"/>
    <w:rsid w:val="00EB6FFB"/>
    <w:rsid w:val="00EF388D"/>
    <w:rsid w:val="00EF75C2"/>
    <w:rsid w:val="00F40AEA"/>
    <w:rsid w:val="00F4117C"/>
    <w:rsid w:val="00F57712"/>
    <w:rsid w:val="00F57801"/>
    <w:rsid w:val="00F66187"/>
    <w:rsid w:val="00F74766"/>
    <w:rsid w:val="00F87C8C"/>
    <w:rsid w:val="00FA0781"/>
    <w:rsid w:val="00FB3384"/>
    <w:rsid w:val="00FF6473"/>
    <w:rsid w:val="13007348"/>
    <w:rsid w:val="19B08981"/>
    <w:rsid w:val="1D415C78"/>
    <w:rsid w:val="26FF19FE"/>
    <w:rsid w:val="27729BDB"/>
    <w:rsid w:val="387711E3"/>
    <w:rsid w:val="3897E979"/>
    <w:rsid w:val="3F1B5C5E"/>
    <w:rsid w:val="3F9BBF10"/>
    <w:rsid w:val="42D35FD2"/>
    <w:rsid w:val="445CEE00"/>
    <w:rsid w:val="4D534CDD"/>
    <w:rsid w:val="5254C345"/>
    <w:rsid w:val="5BE20545"/>
    <w:rsid w:val="5BE27D2E"/>
    <w:rsid w:val="5FA00B5F"/>
    <w:rsid w:val="60DF1426"/>
    <w:rsid w:val="630C3187"/>
    <w:rsid w:val="6805A5B1"/>
    <w:rsid w:val="6FC7CF30"/>
    <w:rsid w:val="74C3AB49"/>
    <w:rsid w:val="7716CBB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E2E26"/>
  <w15:docId w15:val="{470EB38F-ECA0-4DE9-B5EC-A659602C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hAnsiTheme="majorHAnsi" w:eastAsiaTheme="majorEastAsia"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hAnsiTheme="majorHAnsi" w:eastAsiaTheme="majorEastAsia"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hAnsiTheme="majorHAnsi" w:eastAsiaTheme="majorEastAsia"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hAnsiTheme="majorHAnsi" w:eastAsiaTheme="majorEastAsia"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hAnsiTheme="majorHAnsi" w:eastAsiaTheme="majorEastAsia"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hAnsiTheme="majorHAnsi" w:eastAsiaTheme="majorEastAsia"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hAnsiTheme="majorHAnsi" w:eastAsiaTheme="majorEastAsia"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hAnsiTheme="majorHAnsi" w:eastAsiaTheme="majorEastAsia"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hAnsiTheme="majorHAnsi" w:eastAsiaTheme="majorEastAsia" w:cstheme="majorBidi"/>
      <w:i/>
      <w:iCs/>
      <w:color w:val="262626" w:themeColor="text1" w:themeTint="D9"/>
      <w:sz w:val="21"/>
      <w:szCs w:val="2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3164EC"/>
    <w:rPr>
      <w:rFonts w:asciiTheme="majorHAnsi" w:hAnsiTheme="majorHAnsi" w:eastAsiaTheme="majorEastAsia" w:cstheme="majorBidi"/>
      <w:b/>
      <w:color w:val="262626" w:themeColor="text1" w:themeTint="D9"/>
      <w:sz w:val="36"/>
      <w:szCs w:val="32"/>
    </w:rPr>
  </w:style>
  <w:style w:type="character" w:styleId="Rubrik2Char" w:customStyle="1">
    <w:name w:val="Rubrik 2 Char"/>
    <w:basedOn w:val="Standardstycketeckensnitt"/>
    <w:link w:val="Rubrik2"/>
    <w:uiPriority w:val="9"/>
    <w:rsid w:val="003164EC"/>
    <w:rPr>
      <w:rFonts w:asciiTheme="majorHAnsi" w:hAnsiTheme="majorHAnsi" w:eastAsiaTheme="majorEastAsia" w:cstheme="majorBidi"/>
      <w:b/>
      <w:color w:val="262626" w:themeColor="text1" w:themeTint="D9"/>
      <w:sz w:val="27"/>
      <w:szCs w:val="28"/>
    </w:rPr>
  </w:style>
  <w:style w:type="character" w:styleId="Rubrik3Char" w:customStyle="1">
    <w:name w:val="Rubrik 3 Char"/>
    <w:basedOn w:val="Standardstycketeckensnitt"/>
    <w:link w:val="Rubrik3"/>
    <w:uiPriority w:val="9"/>
    <w:rsid w:val="003164EC"/>
    <w:rPr>
      <w:rFonts w:asciiTheme="majorHAnsi" w:hAnsiTheme="majorHAnsi" w:eastAsiaTheme="majorEastAsia" w:cstheme="majorBidi"/>
      <w:b/>
      <w:color w:val="0D0D0D" w:themeColor="text1" w:themeTint="F2"/>
      <w:sz w:val="21"/>
    </w:rPr>
  </w:style>
  <w:style w:type="character" w:styleId="Rubrik4Char" w:customStyle="1">
    <w:name w:val="Rubrik 4 Char"/>
    <w:basedOn w:val="Standardstycketeckensnitt"/>
    <w:link w:val="Rubrik4"/>
    <w:uiPriority w:val="9"/>
    <w:semiHidden/>
    <w:rsid w:val="00350FEF"/>
    <w:rPr>
      <w:rFonts w:asciiTheme="majorHAnsi" w:hAnsiTheme="majorHAnsi" w:eastAsiaTheme="majorEastAsia" w:cstheme="majorBidi"/>
      <w:i/>
      <w:iCs/>
      <w:color w:val="404040" w:themeColor="text1" w:themeTint="BF"/>
    </w:rPr>
  </w:style>
  <w:style w:type="character" w:styleId="Rubrik5Char" w:customStyle="1">
    <w:name w:val="Rubrik 5 Char"/>
    <w:basedOn w:val="Standardstycketeckensnitt"/>
    <w:link w:val="Rubrik5"/>
    <w:uiPriority w:val="9"/>
    <w:semiHidden/>
    <w:rsid w:val="00350FEF"/>
    <w:rPr>
      <w:rFonts w:asciiTheme="majorHAnsi" w:hAnsiTheme="majorHAnsi" w:eastAsiaTheme="majorEastAsia" w:cstheme="majorBidi"/>
      <w:color w:val="404040" w:themeColor="text1" w:themeTint="BF"/>
    </w:rPr>
  </w:style>
  <w:style w:type="character" w:styleId="Rubrik6Char" w:customStyle="1">
    <w:name w:val="Rubrik 6 Char"/>
    <w:basedOn w:val="Standardstycketeckensnitt"/>
    <w:link w:val="Rubrik6"/>
    <w:uiPriority w:val="9"/>
    <w:semiHidden/>
    <w:rsid w:val="00350FEF"/>
    <w:rPr>
      <w:rFonts w:asciiTheme="majorHAnsi" w:hAnsiTheme="majorHAnsi" w:eastAsiaTheme="majorEastAsia" w:cstheme="majorBidi"/>
    </w:rPr>
  </w:style>
  <w:style w:type="character" w:styleId="Rubrik7Char" w:customStyle="1">
    <w:name w:val="Rubrik 7 Char"/>
    <w:basedOn w:val="Standardstycketeckensnitt"/>
    <w:link w:val="Rubrik7"/>
    <w:uiPriority w:val="9"/>
    <w:semiHidden/>
    <w:rsid w:val="00350FEF"/>
    <w:rPr>
      <w:rFonts w:asciiTheme="majorHAnsi" w:hAnsiTheme="majorHAnsi" w:eastAsiaTheme="majorEastAsia" w:cstheme="majorBidi"/>
      <w:i/>
      <w:iCs/>
    </w:rPr>
  </w:style>
  <w:style w:type="character" w:styleId="Rubrik8Char" w:customStyle="1">
    <w:name w:val="Rubrik 8 Char"/>
    <w:basedOn w:val="Standardstycketeckensnitt"/>
    <w:link w:val="Rubrik8"/>
    <w:uiPriority w:val="9"/>
    <w:semiHidden/>
    <w:rsid w:val="00350FEF"/>
    <w:rPr>
      <w:rFonts w:asciiTheme="majorHAnsi" w:hAnsiTheme="majorHAnsi" w:eastAsiaTheme="majorEastAsia" w:cstheme="majorBidi"/>
      <w:color w:val="262626" w:themeColor="text1" w:themeTint="D9"/>
      <w:sz w:val="21"/>
      <w:szCs w:val="21"/>
    </w:rPr>
  </w:style>
  <w:style w:type="character" w:styleId="Rubrik9Char" w:customStyle="1">
    <w:name w:val="Rubrik 9 Char"/>
    <w:basedOn w:val="Standardstycketeckensnitt"/>
    <w:link w:val="Rubrik9"/>
    <w:uiPriority w:val="9"/>
    <w:semiHidden/>
    <w:rsid w:val="00350FEF"/>
    <w:rPr>
      <w:rFonts w:asciiTheme="majorHAnsi" w:hAnsiTheme="majorHAnsi" w:eastAsiaTheme="majorEastAsia"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hAnsiTheme="majorHAnsi" w:eastAsiaTheme="majorEastAsia" w:cstheme="majorBidi"/>
      <w:spacing w:val="-10"/>
      <w:sz w:val="56"/>
      <w:szCs w:val="56"/>
    </w:rPr>
  </w:style>
  <w:style w:type="character" w:styleId="RubrikChar" w:customStyle="1">
    <w:name w:val="Rubrik Char"/>
    <w:basedOn w:val="Standardstycketeckensnitt"/>
    <w:link w:val="Rubrik"/>
    <w:uiPriority w:val="10"/>
    <w:semiHidden/>
    <w:rsid w:val="00473C11"/>
    <w:rPr>
      <w:rFonts w:asciiTheme="majorHAnsi" w:hAnsiTheme="majorHAnsi" w:eastAsiaTheme="majorEastAsia"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styleId="UnderrubrikChar" w:customStyle="1">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styleId="CitatChar" w:customStyle="1">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color="404040" w:themeColor="text1" w:themeTint="BF" w:sz="4" w:space="10"/>
        <w:bottom w:val="single" w:color="404040" w:themeColor="text1" w:themeTint="BF" w:sz="4" w:space="10"/>
      </w:pBdr>
      <w:spacing w:before="360" w:after="360"/>
      <w:ind w:left="864" w:right="864"/>
      <w:jc w:val="center"/>
    </w:pPr>
    <w:rPr>
      <w:i/>
      <w:iCs/>
      <w:color w:val="404040" w:themeColor="text1" w:themeTint="BF"/>
    </w:rPr>
  </w:style>
  <w:style w:type="character" w:styleId="StarktcitatChar" w:customStyle="1">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styleId="SidhuvudChar" w:customStyle="1">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styleId="SidfotChar" w:customStyle="1">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styleId="Faktaruta" w:customStyle="1">
    <w:name w:val="Faktaruta"/>
    <w:basedOn w:val="Normal"/>
    <w:next w:val="Normal"/>
    <w:uiPriority w:val="99"/>
    <w:qFormat/>
    <w:rsid w:val="00173F0C"/>
    <w:pPr>
      <w:pBdr>
        <w:top w:val="single" w:color="F2B700" w:themeColor="accent6" w:sz="4" w:space="6"/>
        <w:left w:val="single" w:color="F2B700" w:themeColor="accent6" w:sz="4" w:space="6"/>
        <w:bottom w:val="single" w:color="F2B700" w:themeColor="accent6" w:sz="4" w:space="6"/>
        <w:right w:val="single" w:color="F2B700" w:themeColor="accent6" w:sz="4" w:space="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Tid" w:customStyle="1">
    <w:name w:val="Tid"/>
    <w:aliases w:val="plats,paragrafer"/>
    <w:basedOn w:val="Normal"/>
    <w:rsid w:val="00603751"/>
    <w:pPr>
      <w:contextualSpacing/>
    </w:pPr>
    <w:rPr>
      <w:rFonts w:asciiTheme="majorHAnsi" w:hAnsiTheme="majorHAnsi"/>
    </w:rPr>
  </w:style>
  <w:style w:type="paragraph" w:styleId="Dokumentinfo" w:customStyle="1">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fbf0993f516a4da8"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ott\AppData\Roaming\Microsoft\Mallar\BRG%20Beslutsunderlag.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f808b6a-a960-4556-b5fc-86c2349082db}"/>
      </w:docPartPr>
      <w:docPartBody>
        <w:p w14:paraId="08E43774">
          <w:r>
            <w:rPr>
              <w:rStyle w:val="PlaceholderText"/>
            </w:rPr>
            <w:t/>
          </w:r>
        </w:p>
      </w:docPartBody>
    </w:docPart>
  </w:docParts>
</w:glossaryDocument>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D2FDE2BE813654095F6082FC70C96FB" ma:contentTypeVersion="13" ma:contentTypeDescription="Skapa ett nytt dokument." ma:contentTypeScope="" ma:versionID="5d6cef1c64046d430cd87222f5960ac6">
  <xsd:schema xmlns:xsd="http://www.w3.org/2001/XMLSchema" xmlns:xs="http://www.w3.org/2001/XMLSchema" xmlns:p="http://schemas.microsoft.com/office/2006/metadata/properties" xmlns:ns2="0742cec8-5de4-471a-9bbf-fbf03a172d53" xmlns:ns3="ad124466-f9fa-4b27-9fee-9fb8351a2b21" targetNamespace="http://schemas.microsoft.com/office/2006/metadata/properties" ma:root="true" ma:fieldsID="874eededbfbd44b9eca73d5bb4e6168c" ns2:_="" ns3:_="">
    <xsd:import namespace="0742cec8-5de4-471a-9bbf-fbf03a172d53"/>
    <xsd:import namespace="ad124466-f9fa-4b27-9fee-9fb8351a2b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2cec8-5de4-471a-9bbf-fbf03a172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124466-f9fa-4b27-9fee-9fb8351a2b2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d124466-f9fa-4b27-9fee-9fb8351a2b21">
      <UserInfo>
        <DisplayName>Ingrid Mansard</DisplayName>
        <AccountId>192</AccountId>
        <AccountType/>
      </UserInfo>
      <UserInfo>
        <DisplayName>Jessica Nilsson</DisplayName>
        <AccountId>243</AccountId>
        <AccountType/>
      </UserInfo>
    </SharedWithUsers>
  </documentManagement>
</p:properties>
</file>

<file path=customXml/itemProps1.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customXml/itemProps2.xml><?xml version="1.0" encoding="utf-8"?>
<ds:datastoreItem xmlns:ds="http://schemas.openxmlformats.org/officeDocument/2006/customXml" ds:itemID="{BE699F81-BA60-46CE-9BC1-9F51DE6D7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2cec8-5de4-471a-9bbf-fbf03a172d53"/>
    <ds:schemaRef ds:uri="ad124466-f9fa-4b27-9fee-9fb8351a2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4.xml><?xml version="1.0" encoding="utf-8"?>
<ds:datastoreItem xmlns:ds="http://schemas.openxmlformats.org/officeDocument/2006/customXml" ds:itemID="{339A4AF6-8DE1-4B4E-876B-800BD51518D1}">
  <ds:schemaRefs>
    <ds:schemaRef ds:uri="http://schemas.microsoft.com/office/2006/metadata/properties"/>
    <ds:schemaRef ds:uri="http://schemas.microsoft.com/office/infopath/2007/PartnerControls"/>
    <ds:schemaRef ds:uri="ad124466-f9fa-4b27-9fee-9fb8351a2b2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BRG Beslutsunderlag</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Jessica Nilsson</dc:creator>
  <dc:description/>
  <cp:lastModifiedBy>Rasmus Heyman</cp:lastModifiedBy>
  <cp:revision>6</cp:revision>
  <cp:lastPrinted>2022-02-01T14:47:00Z</cp:lastPrinted>
  <dcterms:created xsi:type="dcterms:W3CDTF">2022-01-28T11:31:00Z</dcterms:created>
  <dcterms:modified xsi:type="dcterms:W3CDTF">2022-02-10T14:45:35Z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0x010100DD2FDE2BE813654095F6082FC70C96FB</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ies>
</file>