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2A45" w14:textId="77777777" w:rsidR="00326E95" w:rsidRPr="00326E95" w:rsidRDefault="36995B83" w:rsidP="00326E95">
      <w:pPr>
        <w:rPr>
          <w:rStyle w:val="A1"/>
          <w:rFonts w:ascii="Arial" w:eastAsia="Times New Roman" w:hAnsi="Arial" w:cs="Arial"/>
          <w:b/>
          <w:bCs/>
          <w:sz w:val="40"/>
          <w:szCs w:val="40"/>
        </w:rPr>
      </w:pPr>
      <w:r w:rsidRPr="00326E95">
        <w:rPr>
          <w:rStyle w:val="A1"/>
          <w:rFonts w:ascii="Arial" w:eastAsia="Times New Roman" w:hAnsi="Arial" w:cs="Arial"/>
          <w:b/>
          <w:bCs/>
          <w:sz w:val="40"/>
          <w:szCs w:val="40"/>
        </w:rPr>
        <w:t>Bilaga</w:t>
      </w:r>
      <w:r w:rsidR="6210CFAB" w:rsidRPr="00326E95">
        <w:rPr>
          <w:rStyle w:val="A1"/>
          <w:rFonts w:ascii="Arial" w:eastAsia="Times New Roman" w:hAnsi="Arial" w:cs="Arial"/>
          <w:b/>
          <w:bCs/>
          <w:sz w:val="40"/>
          <w:szCs w:val="40"/>
        </w:rPr>
        <w:t xml:space="preserve"> 1. Fördjupningsmaterial Göteborgs Stads program för besöksnäringens utveckling 2022–2030</w:t>
      </w:r>
    </w:p>
    <w:sdt>
      <w:sdtPr>
        <w:rPr>
          <w:rFonts w:asciiTheme="minorHAnsi" w:eastAsiaTheme="minorHAnsi" w:hAnsiTheme="minorHAnsi" w:cstheme="minorBidi"/>
          <w:color w:val="auto"/>
          <w:sz w:val="22"/>
          <w:szCs w:val="22"/>
          <w:lang w:eastAsia="en-US"/>
        </w:rPr>
        <w:id w:val="-558086996"/>
        <w:docPartObj>
          <w:docPartGallery w:val="Table of Contents"/>
          <w:docPartUnique/>
        </w:docPartObj>
      </w:sdtPr>
      <w:sdtEndPr>
        <w:rPr>
          <w:b/>
          <w:bCs/>
        </w:rPr>
      </w:sdtEndPr>
      <w:sdtContent>
        <w:p w14:paraId="2D474EF1" w14:textId="134A8D78" w:rsidR="00326E95" w:rsidRPr="00326E95" w:rsidRDefault="00326E95">
          <w:pPr>
            <w:pStyle w:val="Innehllsfrteckningsrubrik"/>
            <w:rPr>
              <w:rFonts w:ascii="Times New Roman" w:hAnsi="Times New Roman" w:cs="Times New Roman"/>
              <w:color w:val="auto"/>
            </w:rPr>
          </w:pPr>
          <w:r w:rsidRPr="00326E95">
            <w:rPr>
              <w:rFonts w:ascii="Times New Roman" w:hAnsi="Times New Roman" w:cs="Times New Roman"/>
              <w:color w:val="auto"/>
            </w:rPr>
            <w:t>Innehåll</w:t>
          </w:r>
        </w:p>
        <w:p w14:paraId="478CBD4A" w14:textId="489E9884" w:rsidR="009E6ADA" w:rsidRDefault="00326E95">
          <w:pPr>
            <w:pStyle w:val="Innehll2"/>
            <w:tabs>
              <w:tab w:val="left" w:pos="660"/>
              <w:tab w:val="right" w:leader="dot" w:pos="9016"/>
            </w:tabs>
            <w:rPr>
              <w:rFonts w:eastAsiaTheme="minorEastAsia"/>
              <w:noProof/>
              <w:lang w:eastAsia="sv-SE"/>
            </w:rPr>
          </w:pPr>
          <w:r w:rsidRPr="00326E95">
            <w:rPr>
              <w:rFonts w:ascii="Times New Roman" w:hAnsi="Times New Roman" w:cs="Times New Roman"/>
            </w:rPr>
            <w:fldChar w:fldCharType="begin"/>
          </w:r>
          <w:r w:rsidRPr="00326E95">
            <w:rPr>
              <w:rFonts w:ascii="Times New Roman" w:hAnsi="Times New Roman" w:cs="Times New Roman"/>
            </w:rPr>
            <w:instrText xml:space="preserve"> TOC \o "1-3" \h \z \u </w:instrText>
          </w:r>
          <w:r w:rsidRPr="00326E95">
            <w:rPr>
              <w:rFonts w:ascii="Times New Roman" w:hAnsi="Times New Roman" w:cs="Times New Roman"/>
            </w:rPr>
            <w:fldChar w:fldCharType="separate"/>
          </w:r>
          <w:hyperlink w:anchor="_Toc84334721" w:history="1">
            <w:r w:rsidR="009E6ADA" w:rsidRPr="00DF38A8">
              <w:rPr>
                <w:rStyle w:val="Hyperlnk"/>
                <w:noProof/>
              </w:rPr>
              <w:t>1.</w:t>
            </w:r>
            <w:r w:rsidR="009E6ADA">
              <w:rPr>
                <w:rFonts w:eastAsiaTheme="minorEastAsia"/>
                <w:noProof/>
                <w:lang w:eastAsia="sv-SE"/>
              </w:rPr>
              <w:tab/>
            </w:r>
            <w:r w:rsidR="009E6ADA" w:rsidRPr="00DF38A8">
              <w:rPr>
                <w:rStyle w:val="Hyperlnk"/>
                <w:noProof/>
              </w:rPr>
              <w:t>Besöksnäringen i Göteborg</w:t>
            </w:r>
            <w:r w:rsidR="009E6ADA">
              <w:rPr>
                <w:noProof/>
                <w:webHidden/>
              </w:rPr>
              <w:tab/>
            </w:r>
            <w:r w:rsidR="009E6ADA">
              <w:rPr>
                <w:noProof/>
                <w:webHidden/>
              </w:rPr>
              <w:fldChar w:fldCharType="begin"/>
            </w:r>
            <w:r w:rsidR="009E6ADA">
              <w:rPr>
                <w:noProof/>
                <w:webHidden/>
              </w:rPr>
              <w:instrText xml:space="preserve"> PAGEREF _Toc84334721 \h </w:instrText>
            </w:r>
            <w:r w:rsidR="009E6ADA">
              <w:rPr>
                <w:noProof/>
                <w:webHidden/>
              </w:rPr>
            </w:r>
            <w:r w:rsidR="009E6ADA">
              <w:rPr>
                <w:noProof/>
                <w:webHidden/>
              </w:rPr>
              <w:fldChar w:fldCharType="separate"/>
            </w:r>
            <w:r w:rsidR="009E6ADA">
              <w:rPr>
                <w:noProof/>
                <w:webHidden/>
              </w:rPr>
              <w:t>2</w:t>
            </w:r>
            <w:r w:rsidR="009E6ADA">
              <w:rPr>
                <w:noProof/>
                <w:webHidden/>
              </w:rPr>
              <w:fldChar w:fldCharType="end"/>
            </w:r>
          </w:hyperlink>
        </w:p>
        <w:p w14:paraId="7D4697D8" w14:textId="7E91484F" w:rsidR="009E6ADA" w:rsidRDefault="000374FA">
          <w:pPr>
            <w:pStyle w:val="Innehll2"/>
            <w:tabs>
              <w:tab w:val="left" w:pos="660"/>
              <w:tab w:val="right" w:leader="dot" w:pos="9016"/>
            </w:tabs>
            <w:rPr>
              <w:rFonts w:eastAsiaTheme="minorEastAsia"/>
              <w:noProof/>
              <w:lang w:eastAsia="sv-SE"/>
            </w:rPr>
          </w:pPr>
          <w:hyperlink w:anchor="_Toc84334722" w:history="1">
            <w:r w:rsidR="009E6ADA" w:rsidRPr="00DF38A8">
              <w:rPr>
                <w:rStyle w:val="Hyperlnk"/>
                <w:noProof/>
              </w:rPr>
              <w:t>2.</w:t>
            </w:r>
            <w:r w:rsidR="009E6ADA">
              <w:rPr>
                <w:rFonts w:eastAsiaTheme="minorEastAsia"/>
                <w:noProof/>
                <w:lang w:eastAsia="sv-SE"/>
              </w:rPr>
              <w:tab/>
            </w:r>
            <w:r w:rsidR="009E6ADA" w:rsidRPr="00DF38A8">
              <w:rPr>
                <w:rStyle w:val="Hyperlnk"/>
                <w:noProof/>
              </w:rPr>
              <w:t>Beskrivning av besöksnäringens ekosystem</w:t>
            </w:r>
            <w:r w:rsidR="009E6ADA">
              <w:rPr>
                <w:noProof/>
                <w:webHidden/>
              </w:rPr>
              <w:tab/>
            </w:r>
            <w:r w:rsidR="009E6ADA">
              <w:rPr>
                <w:noProof/>
                <w:webHidden/>
              </w:rPr>
              <w:fldChar w:fldCharType="begin"/>
            </w:r>
            <w:r w:rsidR="009E6ADA">
              <w:rPr>
                <w:noProof/>
                <w:webHidden/>
              </w:rPr>
              <w:instrText xml:space="preserve"> PAGEREF _Toc84334722 \h </w:instrText>
            </w:r>
            <w:r w:rsidR="009E6ADA">
              <w:rPr>
                <w:noProof/>
                <w:webHidden/>
              </w:rPr>
            </w:r>
            <w:r w:rsidR="009E6ADA">
              <w:rPr>
                <w:noProof/>
                <w:webHidden/>
              </w:rPr>
              <w:fldChar w:fldCharType="separate"/>
            </w:r>
            <w:r w:rsidR="009E6ADA">
              <w:rPr>
                <w:noProof/>
                <w:webHidden/>
              </w:rPr>
              <w:t>2</w:t>
            </w:r>
            <w:r w:rsidR="009E6ADA">
              <w:rPr>
                <w:noProof/>
                <w:webHidden/>
              </w:rPr>
              <w:fldChar w:fldCharType="end"/>
            </w:r>
          </w:hyperlink>
        </w:p>
        <w:p w14:paraId="183C431D" w14:textId="4A8D6227" w:rsidR="009E6ADA" w:rsidRDefault="000374FA">
          <w:pPr>
            <w:pStyle w:val="Innehll2"/>
            <w:tabs>
              <w:tab w:val="left" w:pos="660"/>
              <w:tab w:val="right" w:leader="dot" w:pos="9016"/>
            </w:tabs>
            <w:rPr>
              <w:rFonts w:eastAsiaTheme="minorEastAsia"/>
              <w:noProof/>
              <w:lang w:eastAsia="sv-SE"/>
            </w:rPr>
          </w:pPr>
          <w:hyperlink w:anchor="_Toc84334723" w:history="1">
            <w:r w:rsidR="009E6ADA" w:rsidRPr="00DF38A8">
              <w:rPr>
                <w:rStyle w:val="Hyperlnk"/>
                <w:noProof/>
              </w:rPr>
              <w:t>3.</w:t>
            </w:r>
            <w:r w:rsidR="009E6ADA">
              <w:rPr>
                <w:rFonts w:eastAsiaTheme="minorEastAsia"/>
                <w:noProof/>
                <w:lang w:eastAsia="sv-SE"/>
              </w:rPr>
              <w:tab/>
            </w:r>
            <w:r w:rsidR="009E6ADA" w:rsidRPr="00DF38A8">
              <w:rPr>
                <w:rStyle w:val="Hyperlnk"/>
                <w:noProof/>
              </w:rPr>
              <w:t>Omvärldsanalys hösten 2021</w:t>
            </w:r>
            <w:r w:rsidR="009E6ADA">
              <w:rPr>
                <w:noProof/>
                <w:webHidden/>
              </w:rPr>
              <w:tab/>
            </w:r>
            <w:r w:rsidR="009E6ADA">
              <w:rPr>
                <w:noProof/>
                <w:webHidden/>
              </w:rPr>
              <w:fldChar w:fldCharType="begin"/>
            </w:r>
            <w:r w:rsidR="009E6ADA">
              <w:rPr>
                <w:noProof/>
                <w:webHidden/>
              </w:rPr>
              <w:instrText xml:space="preserve"> PAGEREF _Toc84334723 \h </w:instrText>
            </w:r>
            <w:r w:rsidR="009E6ADA">
              <w:rPr>
                <w:noProof/>
                <w:webHidden/>
              </w:rPr>
            </w:r>
            <w:r w:rsidR="009E6ADA">
              <w:rPr>
                <w:noProof/>
                <w:webHidden/>
              </w:rPr>
              <w:fldChar w:fldCharType="separate"/>
            </w:r>
            <w:r w:rsidR="009E6ADA">
              <w:rPr>
                <w:noProof/>
                <w:webHidden/>
              </w:rPr>
              <w:t>6</w:t>
            </w:r>
            <w:r w:rsidR="009E6ADA">
              <w:rPr>
                <w:noProof/>
                <w:webHidden/>
              </w:rPr>
              <w:fldChar w:fldCharType="end"/>
            </w:r>
          </w:hyperlink>
        </w:p>
        <w:p w14:paraId="5AE77CEF" w14:textId="3BF7DE0C" w:rsidR="009E6ADA" w:rsidRDefault="000374FA">
          <w:pPr>
            <w:pStyle w:val="Innehll2"/>
            <w:tabs>
              <w:tab w:val="left" w:pos="660"/>
              <w:tab w:val="right" w:leader="dot" w:pos="9016"/>
            </w:tabs>
            <w:rPr>
              <w:rFonts w:eastAsiaTheme="minorEastAsia"/>
              <w:noProof/>
              <w:lang w:eastAsia="sv-SE"/>
            </w:rPr>
          </w:pPr>
          <w:hyperlink w:anchor="_Toc84334724" w:history="1">
            <w:r w:rsidR="009E6ADA" w:rsidRPr="00DF38A8">
              <w:rPr>
                <w:rStyle w:val="Hyperlnk"/>
                <w:noProof/>
              </w:rPr>
              <w:t>4.</w:t>
            </w:r>
            <w:r w:rsidR="009E6ADA">
              <w:rPr>
                <w:rFonts w:eastAsiaTheme="minorEastAsia"/>
                <w:noProof/>
                <w:lang w:eastAsia="sv-SE"/>
              </w:rPr>
              <w:tab/>
            </w:r>
            <w:r w:rsidR="009E6ADA" w:rsidRPr="00DF38A8">
              <w:rPr>
                <w:rStyle w:val="Hyperlnk"/>
                <w:noProof/>
              </w:rPr>
              <w:t>Fördjupningsmaterial: Programmets mål och indikatorer</w:t>
            </w:r>
            <w:r w:rsidR="009E6ADA">
              <w:rPr>
                <w:noProof/>
                <w:webHidden/>
              </w:rPr>
              <w:tab/>
            </w:r>
            <w:r w:rsidR="009E6ADA">
              <w:rPr>
                <w:noProof/>
                <w:webHidden/>
              </w:rPr>
              <w:fldChar w:fldCharType="begin"/>
            </w:r>
            <w:r w:rsidR="009E6ADA">
              <w:rPr>
                <w:noProof/>
                <w:webHidden/>
              </w:rPr>
              <w:instrText xml:space="preserve"> PAGEREF _Toc84334724 \h </w:instrText>
            </w:r>
            <w:r w:rsidR="009E6ADA">
              <w:rPr>
                <w:noProof/>
                <w:webHidden/>
              </w:rPr>
            </w:r>
            <w:r w:rsidR="009E6ADA">
              <w:rPr>
                <w:noProof/>
                <w:webHidden/>
              </w:rPr>
              <w:fldChar w:fldCharType="separate"/>
            </w:r>
            <w:r w:rsidR="009E6ADA">
              <w:rPr>
                <w:noProof/>
                <w:webHidden/>
              </w:rPr>
              <w:t>13</w:t>
            </w:r>
            <w:r w:rsidR="009E6ADA">
              <w:rPr>
                <w:noProof/>
                <w:webHidden/>
              </w:rPr>
              <w:fldChar w:fldCharType="end"/>
            </w:r>
          </w:hyperlink>
        </w:p>
        <w:p w14:paraId="7DB0CF03" w14:textId="7C4E555F" w:rsidR="009E6ADA" w:rsidRDefault="000374FA">
          <w:pPr>
            <w:pStyle w:val="Innehll2"/>
            <w:tabs>
              <w:tab w:val="left" w:pos="660"/>
              <w:tab w:val="right" w:leader="dot" w:pos="9016"/>
            </w:tabs>
            <w:rPr>
              <w:rFonts w:eastAsiaTheme="minorEastAsia"/>
              <w:noProof/>
              <w:lang w:eastAsia="sv-SE"/>
            </w:rPr>
          </w:pPr>
          <w:hyperlink w:anchor="_Toc84334725" w:history="1">
            <w:r w:rsidR="009E6ADA" w:rsidRPr="00DF38A8">
              <w:rPr>
                <w:rStyle w:val="Hyperlnk"/>
                <w:noProof/>
              </w:rPr>
              <w:t>5.</w:t>
            </w:r>
            <w:r w:rsidR="009E6ADA">
              <w:rPr>
                <w:rFonts w:eastAsiaTheme="minorEastAsia"/>
                <w:noProof/>
                <w:lang w:eastAsia="sv-SE"/>
              </w:rPr>
              <w:tab/>
            </w:r>
            <w:r w:rsidR="009E6ADA" w:rsidRPr="00DF38A8">
              <w:rPr>
                <w:rStyle w:val="Hyperlnk"/>
                <w:noProof/>
              </w:rPr>
              <w:t>Specifikation programmets bidrag till Agenda 2030</w:t>
            </w:r>
            <w:r w:rsidR="009E6ADA">
              <w:rPr>
                <w:noProof/>
                <w:webHidden/>
              </w:rPr>
              <w:tab/>
            </w:r>
            <w:r w:rsidR="009E6ADA">
              <w:rPr>
                <w:noProof/>
                <w:webHidden/>
              </w:rPr>
              <w:fldChar w:fldCharType="begin"/>
            </w:r>
            <w:r w:rsidR="009E6ADA">
              <w:rPr>
                <w:noProof/>
                <w:webHidden/>
              </w:rPr>
              <w:instrText xml:space="preserve"> PAGEREF _Toc84334725 \h </w:instrText>
            </w:r>
            <w:r w:rsidR="009E6ADA">
              <w:rPr>
                <w:noProof/>
                <w:webHidden/>
              </w:rPr>
            </w:r>
            <w:r w:rsidR="009E6ADA">
              <w:rPr>
                <w:noProof/>
                <w:webHidden/>
              </w:rPr>
              <w:fldChar w:fldCharType="separate"/>
            </w:r>
            <w:r w:rsidR="009E6ADA">
              <w:rPr>
                <w:noProof/>
                <w:webHidden/>
              </w:rPr>
              <w:t>21</w:t>
            </w:r>
            <w:r w:rsidR="009E6ADA">
              <w:rPr>
                <w:noProof/>
                <w:webHidden/>
              </w:rPr>
              <w:fldChar w:fldCharType="end"/>
            </w:r>
          </w:hyperlink>
        </w:p>
        <w:p w14:paraId="03029F67" w14:textId="2EECCBE8" w:rsidR="009E6ADA" w:rsidRDefault="000374FA">
          <w:pPr>
            <w:pStyle w:val="Innehll2"/>
            <w:tabs>
              <w:tab w:val="left" w:pos="660"/>
              <w:tab w:val="right" w:leader="dot" w:pos="9016"/>
            </w:tabs>
            <w:rPr>
              <w:rFonts w:eastAsiaTheme="minorEastAsia"/>
              <w:noProof/>
              <w:lang w:eastAsia="sv-SE"/>
            </w:rPr>
          </w:pPr>
          <w:hyperlink w:anchor="_Toc84334726" w:history="1">
            <w:r w:rsidR="009E6ADA" w:rsidRPr="00DF38A8">
              <w:rPr>
                <w:rStyle w:val="Hyperlnk"/>
                <w:noProof/>
              </w:rPr>
              <w:t>6.</w:t>
            </w:r>
            <w:r w:rsidR="009E6ADA">
              <w:rPr>
                <w:rFonts w:eastAsiaTheme="minorEastAsia"/>
                <w:noProof/>
                <w:lang w:eastAsia="sv-SE"/>
              </w:rPr>
              <w:tab/>
            </w:r>
            <w:r w:rsidR="009E6ADA" w:rsidRPr="00DF38A8">
              <w:rPr>
                <w:rStyle w:val="Hyperlnk"/>
                <w:noProof/>
              </w:rPr>
              <w:t>Programmets kopplingar till andra styrande dokument</w:t>
            </w:r>
            <w:r w:rsidR="009E6ADA">
              <w:rPr>
                <w:noProof/>
                <w:webHidden/>
              </w:rPr>
              <w:tab/>
            </w:r>
            <w:r w:rsidR="009E6ADA">
              <w:rPr>
                <w:noProof/>
                <w:webHidden/>
              </w:rPr>
              <w:fldChar w:fldCharType="begin"/>
            </w:r>
            <w:r w:rsidR="009E6ADA">
              <w:rPr>
                <w:noProof/>
                <w:webHidden/>
              </w:rPr>
              <w:instrText xml:space="preserve"> PAGEREF _Toc84334726 \h </w:instrText>
            </w:r>
            <w:r w:rsidR="009E6ADA">
              <w:rPr>
                <w:noProof/>
                <w:webHidden/>
              </w:rPr>
            </w:r>
            <w:r w:rsidR="009E6ADA">
              <w:rPr>
                <w:noProof/>
                <w:webHidden/>
              </w:rPr>
              <w:fldChar w:fldCharType="separate"/>
            </w:r>
            <w:r w:rsidR="009E6ADA">
              <w:rPr>
                <w:noProof/>
                <w:webHidden/>
              </w:rPr>
              <w:t>24</w:t>
            </w:r>
            <w:r w:rsidR="009E6ADA">
              <w:rPr>
                <w:noProof/>
                <w:webHidden/>
              </w:rPr>
              <w:fldChar w:fldCharType="end"/>
            </w:r>
          </w:hyperlink>
        </w:p>
        <w:p w14:paraId="23AC3E08" w14:textId="16A9E8E5" w:rsidR="00326E95" w:rsidRDefault="00326E95">
          <w:r w:rsidRPr="00326E95">
            <w:rPr>
              <w:rFonts w:ascii="Times New Roman" w:hAnsi="Times New Roman" w:cs="Times New Roman"/>
              <w:b/>
              <w:bCs/>
            </w:rPr>
            <w:fldChar w:fldCharType="end"/>
          </w:r>
        </w:p>
      </w:sdtContent>
    </w:sdt>
    <w:p w14:paraId="1DB5E33F" w14:textId="77777777" w:rsidR="009E6ADA" w:rsidRDefault="009E6ADA">
      <w:pPr>
        <w:rPr>
          <w:rStyle w:val="A1"/>
          <w:rFonts w:ascii="Arial" w:eastAsia="Times New Roman" w:hAnsi="Arial" w:cs="Arial"/>
          <w:b/>
          <w:bCs/>
          <w:color w:val="auto"/>
          <w:sz w:val="27"/>
          <w:szCs w:val="27"/>
        </w:rPr>
      </w:pPr>
      <w:r>
        <w:rPr>
          <w:rStyle w:val="A1"/>
          <w:rFonts w:ascii="Arial" w:eastAsia="Times New Roman" w:hAnsi="Arial" w:cs="Arial"/>
          <w:color w:val="auto"/>
          <w:sz w:val="27"/>
          <w:szCs w:val="27"/>
        </w:rPr>
        <w:br w:type="page"/>
      </w:r>
    </w:p>
    <w:p w14:paraId="644C8952" w14:textId="56D753C7" w:rsidR="00F97269" w:rsidRPr="00484A33" w:rsidRDefault="36995B83" w:rsidP="00484A33">
      <w:pPr>
        <w:pStyle w:val="Rubrik2"/>
        <w:rPr>
          <w:rStyle w:val="A1"/>
          <w:rFonts w:ascii="Arial" w:eastAsia="Times New Roman" w:hAnsi="Arial" w:cs="Arial"/>
          <w:color w:val="auto"/>
          <w:sz w:val="27"/>
          <w:szCs w:val="27"/>
        </w:rPr>
      </w:pPr>
      <w:bookmarkStart w:id="0" w:name="_Toc84334721"/>
      <w:r w:rsidRPr="00484A33">
        <w:rPr>
          <w:rStyle w:val="A1"/>
          <w:rFonts w:ascii="Arial" w:eastAsia="Times New Roman" w:hAnsi="Arial" w:cs="Arial"/>
          <w:color w:val="auto"/>
          <w:sz w:val="27"/>
          <w:szCs w:val="27"/>
        </w:rPr>
        <w:lastRenderedPageBreak/>
        <w:t>Besöksnäringen i Göteborg</w:t>
      </w:r>
      <w:bookmarkEnd w:id="0"/>
      <w:r w:rsidRPr="00484A33">
        <w:rPr>
          <w:rStyle w:val="A1"/>
          <w:rFonts w:ascii="Arial" w:eastAsia="Times New Roman" w:hAnsi="Arial" w:cs="Arial"/>
          <w:color w:val="auto"/>
          <w:sz w:val="27"/>
          <w:szCs w:val="27"/>
        </w:rPr>
        <w:t xml:space="preserve"> </w:t>
      </w:r>
    </w:p>
    <w:p w14:paraId="530FD53C" w14:textId="264CAB06" w:rsidR="3CB06CFC" w:rsidRDefault="3CB06CFC" w:rsidP="00484A33">
      <w:pPr>
        <w:spacing w:line="276" w:lineRule="auto"/>
        <w:rPr>
          <w:rFonts w:ascii="Times New Roman" w:eastAsia="Times New Roman" w:hAnsi="Times New Roman" w:cs="Times New Roman"/>
          <w:color w:val="000000" w:themeColor="text1"/>
        </w:rPr>
      </w:pPr>
      <w:r w:rsidRPr="2D45ABF1">
        <w:rPr>
          <w:rFonts w:ascii="Times New Roman" w:eastAsia="Times New Roman" w:hAnsi="Times New Roman" w:cs="Times New Roman"/>
          <w:color w:val="000000" w:themeColor="text1"/>
        </w:rPr>
        <w:t>Göteborg insåg tidigt potentialen i en växande ekonomi baserad på tjänster, upplevelser och turism. Det är grunden till Göteborgs stabila utveckling som destination sedan tidigt 1990-tal med årlig tillväxt ända fram till pandemiåret 2020</w:t>
      </w:r>
      <w:r w:rsidR="5C225AC6" w:rsidRPr="2D45ABF1">
        <w:rPr>
          <w:rFonts w:ascii="Times New Roman" w:eastAsia="Times New Roman" w:hAnsi="Times New Roman" w:cs="Times New Roman"/>
          <w:color w:val="000000" w:themeColor="text1"/>
        </w:rPr>
        <w:t xml:space="preserve"> då antalet övernattningar på destinationens boendeanläggningar halverades</w:t>
      </w:r>
      <w:r w:rsidR="21E91028" w:rsidRPr="2D45ABF1">
        <w:rPr>
          <w:rFonts w:ascii="Times New Roman" w:eastAsia="Times New Roman" w:hAnsi="Times New Roman" w:cs="Times New Roman"/>
          <w:color w:val="000000" w:themeColor="text1"/>
        </w:rPr>
        <w:t xml:space="preserve"> jämfört med året innan</w:t>
      </w:r>
      <w:r w:rsidRPr="2D45ABF1">
        <w:rPr>
          <w:rFonts w:ascii="Times New Roman" w:eastAsia="Times New Roman" w:hAnsi="Times New Roman" w:cs="Times New Roman"/>
          <w:color w:val="000000" w:themeColor="text1"/>
        </w:rPr>
        <w:t>.</w:t>
      </w:r>
      <w:r w:rsidR="1C40A960" w:rsidRPr="2D45ABF1">
        <w:rPr>
          <w:rFonts w:ascii="Times New Roman" w:eastAsia="Times New Roman" w:hAnsi="Times New Roman" w:cs="Times New Roman"/>
          <w:color w:val="000000" w:themeColor="text1"/>
        </w:rPr>
        <w:t xml:space="preserve"> </w:t>
      </w:r>
      <w:r w:rsidR="46858C75" w:rsidRPr="2D45ABF1">
        <w:rPr>
          <w:rFonts w:ascii="Times New Roman" w:eastAsia="Times New Roman" w:hAnsi="Times New Roman" w:cs="Times New Roman"/>
          <w:color w:val="000000" w:themeColor="text1"/>
        </w:rPr>
        <w:t xml:space="preserve">Andelen internationella gästnätter har </w:t>
      </w:r>
      <w:r w:rsidR="736DDB68" w:rsidRPr="2D45ABF1">
        <w:rPr>
          <w:rFonts w:ascii="Times New Roman" w:eastAsia="Times New Roman" w:hAnsi="Times New Roman" w:cs="Times New Roman"/>
          <w:color w:val="000000" w:themeColor="text1"/>
        </w:rPr>
        <w:t xml:space="preserve">under många år </w:t>
      </w:r>
      <w:r w:rsidR="46858C75" w:rsidRPr="2D45ABF1">
        <w:rPr>
          <w:rFonts w:ascii="Times New Roman" w:eastAsia="Times New Roman" w:hAnsi="Times New Roman" w:cs="Times New Roman"/>
          <w:color w:val="000000" w:themeColor="text1"/>
        </w:rPr>
        <w:t>legat stabilt omkring 30% av den totala gästnattsvolymen</w:t>
      </w:r>
      <w:r w:rsidR="59A3E629" w:rsidRPr="2D45ABF1">
        <w:rPr>
          <w:rFonts w:ascii="Times New Roman" w:eastAsia="Times New Roman" w:hAnsi="Times New Roman" w:cs="Times New Roman"/>
          <w:color w:val="000000" w:themeColor="text1"/>
        </w:rPr>
        <w:t xml:space="preserve"> på destinationen</w:t>
      </w:r>
      <w:r w:rsidR="46858C75" w:rsidRPr="2D45ABF1">
        <w:rPr>
          <w:rFonts w:ascii="Times New Roman" w:eastAsia="Times New Roman" w:hAnsi="Times New Roman" w:cs="Times New Roman"/>
          <w:color w:val="000000" w:themeColor="text1"/>
        </w:rPr>
        <w:t>, men även denna andel minskade kraftigt och uppgick till 15% under 2020</w:t>
      </w:r>
      <w:r w:rsidR="141B68D0" w:rsidRPr="2D45ABF1">
        <w:rPr>
          <w:rFonts w:ascii="Times New Roman" w:eastAsia="Times New Roman" w:hAnsi="Times New Roman" w:cs="Times New Roman"/>
          <w:color w:val="000000" w:themeColor="text1"/>
        </w:rPr>
        <w:t xml:space="preserve"> till följd av</w:t>
      </w:r>
      <w:r w:rsidR="5DC49CC0" w:rsidRPr="2D45ABF1">
        <w:rPr>
          <w:rFonts w:ascii="Times New Roman" w:eastAsia="Times New Roman" w:hAnsi="Times New Roman" w:cs="Times New Roman"/>
          <w:color w:val="000000" w:themeColor="text1"/>
        </w:rPr>
        <w:t xml:space="preserve"> </w:t>
      </w:r>
      <w:r w:rsidR="45B43D03" w:rsidRPr="2D45ABF1">
        <w:rPr>
          <w:rFonts w:ascii="Times New Roman" w:eastAsia="Times New Roman" w:hAnsi="Times New Roman" w:cs="Times New Roman"/>
          <w:color w:val="000000" w:themeColor="text1"/>
        </w:rPr>
        <w:t xml:space="preserve">internationella </w:t>
      </w:r>
      <w:r w:rsidR="141B68D0" w:rsidRPr="2D45ABF1">
        <w:rPr>
          <w:rFonts w:ascii="Times New Roman" w:eastAsia="Times New Roman" w:hAnsi="Times New Roman" w:cs="Times New Roman"/>
          <w:color w:val="000000" w:themeColor="text1"/>
        </w:rPr>
        <w:t>reserestriktioner</w:t>
      </w:r>
      <w:r w:rsidR="46858C75" w:rsidRPr="2D45ABF1">
        <w:rPr>
          <w:rFonts w:ascii="Times New Roman" w:eastAsia="Times New Roman" w:hAnsi="Times New Roman" w:cs="Times New Roman"/>
          <w:color w:val="000000" w:themeColor="text1"/>
        </w:rPr>
        <w:t xml:space="preserve">. </w:t>
      </w:r>
    </w:p>
    <w:p w14:paraId="476DD487" w14:textId="5779CFE7" w:rsidR="60E6FE74" w:rsidRDefault="60E6FE74" w:rsidP="00484A33">
      <w:pPr>
        <w:spacing w:line="276" w:lineRule="auto"/>
        <w:rPr>
          <w:rFonts w:ascii="Times New Roman" w:eastAsia="Times New Roman" w:hAnsi="Times New Roman" w:cs="Times New Roman"/>
          <w:color w:val="000000" w:themeColor="text1"/>
        </w:rPr>
      </w:pPr>
      <w:r w:rsidRPr="2D45ABF1">
        <w:rPr>
          <w:rFonts w:ascii="Times New Roman" w:eastAsia="Times New Roman" w:hAnsi="Times New Roman" w:cs="Times New Roman"/>
          <w:color w:val="000000" w:themeColor="text1"/>
        </w:rPr>
        <w:t>Destinationens boendeanläggningar har historiskt varit starkt beroende av affärsresandet som stått för över hälften av övernatt</w:t>
      </w:r>
      <w:r w:rsidR="44C251A4" w:rsidRPr="2D45ABF1">
        <w:rPr>
          <w:rFonts w:ascii="Times New Roman" w:eastAsia="Times New Roman" w:hAnsi="Times New Roman" w:cs="Times New Roman"/>
          <w:color w:val="000000" w:themeColor="text1"/>
        </w:rPr>
        <w:t>n</w:t>
      </w:r>
      <w:r w:rsidR="75401A3D" w:rsidRPr="2D45ABF1">
        <w:rPr>
          <w:rFonts w:ascii="Times New Roman" w:eastAsia="Times New Roman" w:hAnsi="Times New Roman" w:cs="Times New Roman"/>
          <w:color w:val="000000" w:themeColor="text1"/>
        </w:rPr>
        <w:t>i</w:t>
      </w:r>
      <w:r w:rsidRPr="2D45ABF1">
        <w:rPr>
          <w:rFonts w:ascii="Times New Roman" w:eastAsia="Times New Roman" w:hAnsi="Times New Roman" w:cs="Times New Roman"/>
          <w:color w:val="000000" w:themeColor="text1"/>
        </w:rPr>
        <w:t>ng</w:t>
      </w:r>
      <w:r w:rsidR="003B0831" w:rsidRPr="2D45ABF1">
        <w:rPr>
          <w:rFonts w:ascii="Times New Roman" w:eastAsia="Times New Roman" w:hAnsi="Times New Roman" w:cs="Times New Roman"/>
          <w:color w:val="000000" w:themeColor="text1"/>
        </w:rPr>
        <w:t>arna</w:t>
      </w:r>
      <w:r w:rsidR="3E01CA5A" w:rsidRPr="2D45ABF1">
        <w:rPr>
          <w:rFonts w:ascii="Times New Roman" w:eastAsia="Times New Roman" w:hAnsi="Times New Roman" w:cs="Times New Roman"/>
          <w:color w:val="000000" w:themeColor="text1"/>
        </w:rPr>
        <w:t xml:space="preserve"> de senaste åren</w:t>
      </w:r>
      <w:r w:rsidR="5F61EE42" w:rsidRPr="2D45ABF1">
        <w:rPr>
          <w:rFonts w:ascii="Times New Roman" w:eastAsia="Times New Roman" w:hAnsi="Times New Roman" w:cs="Times New Roman"/>
          <w:color w:val="000000" w:themeColor="text1"/>
        </w:rPr>
        <w:t xml:space="preserve">. Även </w:t>
      </w:r>
      <w:r w:rsidR="3EFBC0E9" w:rsidRPr="2D45ABF1">
        <w:rPr>
          <w:rFonts w:ascii="Times New Roman" w:eastAsia="Times New Roman" w:hAnsi="Times New Roman" w:cs="Times New Roman"/>
          <w:color w:val="000000" w:themeColor="text1"/>
        </w:rPr>
        <w:t>affärsresandet såg en nedgång under pandemiåret 2020 då</w:t>
      </w:r>
      <w:r w:rsidR="46858C75" w:rsidRPr="2D45ABF1">
        <w:rPr>
          <w:rFonts w:ascii="Times New Roman" w:eastAsia="Times New Roman" w:hAnsi="Times New Roman" w:cs="Times New Roman"/>
          <w:color w:val="000000" w:themeColor="text1"/>
        </w:rPr>
        <w:t xml:space="preserve"> </w:t>
      </w:r>
      <w:r w:rsidR="2A65F129" w:rsidRPr="2D45ABF1">
        <w:rPr>
          <w:rFonts w:ascii="Times New Roman" w:eastAsia="Times New Roman" w:hAnsi="Times New Roman" w:cs="Times New Roman"/>
          <w:color w:val="000000" w:themeColor="text1"/>
        </w:rPr>
        <w:t xml:space="preserve">privatturismen stod för majoriteten av gästnätterna. </w:t>
      </w:r>
    </w:p>
    <w:p w14:paraId="7729A822" w14:textId="77777777" w:rsidR="00326E95" w:rsidRDefault="00326E95" w:rsidP="00484A33">
      <w:pPr>
        <w:spacing w:line="276" w:lineRule="auto"/>
        <w:rPr>
          <w:rFonts w:ascii="Times New Roman" w:eastAsia="Times New Roman" w:hAnsi="Times New Roman" w:cs="Times New Roman"/>
          <w:color w:val="000000" w:themeColor="text1"/>
        </w:rPr>
      </w:pPr>
    </w:p>
    <w:p w14:paraId="743A29CA" w14:textId="105CBD17" w:rsidR="0F6A0FC0" w:rsidRDefault="0F6A0FC0" w:rsidP="00484A33">
      <w:pPr>
        <w:spacing w:line="276" w:lineRule="auto"/>
      </w:pPr>
      <w:r>
        <w:rPr>
          <w:noProof/>
          <w:color w:val="2B579A"/>
          <w:shd w:val="clear" w:color="auto" w:fill="E6E6E6"/>
        </w:rPr>
        <w:drawing>
          <wp:inline distT="0" distB="0" distL="0" distR="0" wp14:anchorId="67949FBE" wp14:editId="4B003609">
            <wp:extent cx="4295775" cy="2066925"/>
            <wp:effectExtent l="0" t="0" r="0" b="0"/>
            <wp:docPr id="1196002026" name="Bildobjekt 119600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295775" cy="2066925"/>
                    </a:xfrm>
                    <a:prstGeom prst="rect">
                      <a:avLst/>
                    </a:prstGeom>
                  </pic:spPr>
                </pic:pic>
              </a:graphicData>
            </a:graphic>
          </wp:inline>
        </w:drawing>
      </w:r>
    </w:p>
    <w:p w14:paraId="39949127" w14:textId="7B7DFFF1" w:rsidR="0F6A0FC0" w:rsidRDefault="0F6A0FC0" w:rsidP="00484A33">
      <w:pPr>
        <w:spacing w:line="276" w:lineRule="auto"/>
        <w:rPr>
          <w:rFonts w:ascii="Times New Roman" w:eastAsia="Times New Roman" w:hAnsi="Times New Roman" w:cs="Times New Roman"/>
          <w:i/>
          <w:iCs/>
          <w:color w:val="000000" w:themeColor="text1"/>
          <w:sz w:val="20"/>
          <w:szCs w:val="20"/>
        </w:rPr>
      </w:pPr>
      <w:r w:rsidRPr="2D45ABF1">
        <w:rPr>
          <w:rFonts w:ascii="Times New Roman" w:eastAsia="Times New Roman" w:hAnsi="Times New Roman" w:cs="Times New Roman"/>
          <w:i/>
          <w:iCs/>
          <w:color w:val="000000" w:themeColor="text1"/>
          <w:sz w:val="20"/>
          <w:szCs w:val="20"/>
        </w:rPr>
        <w:t xml:space="preserve">Källa: SCB Inkvarteringsstatistik. Avser gästnätter på hotell, stugbyar och vandrarhem. </w:t>
      </w:r>
    </w:p>
    <w:p w14:paraId="7062487B" w14:textId="42B9D7EC" w:rsidR="3CB06CFC" w:rsidRDefault="3CB06CFC" w:rsidP="00484A33">
      <w:pPr>
        <w:spacing w:line="276" w:lineRule="auto"/>
        <w:rPr>
          <w:rFonts w:ascii="Times New Roman" w:eastAsia="Times New Roman" w:hAnsi="Times New Roman" w:cs="Times New Roman"/>
          <w:color w:val="000000" w:themeColor="text1"/>
        </w:rPr>
      </w:pPr>
      <w:r w:rsidRPr="2D45ABF1">
        <w:rPr>
          <w:rFonts w:ascii="Times New Roman" w:eastAsia="Times New Roman" w:hAnsi="Times New Roman" w:cs="Times New Roman"/>
          <w:color w:val="000000" w:themeColor="text1"/>
        </w:rPr>
        <w:t>Stadens och regionens satsningar på kulturliv och evenemang, möten och mässor kombinerat med unika attraktioner som Liseberg fungerar som motorer och skapar förutsättningar för investeringar, som i sin tur driver tillväxt. Nya hotell, restauranger, scener, butiker och allt annat som utgör besöksnäringen bidrar också till en mer levande och attraktiv storstadsregion vilket gynnar alla som lever här. Samspelet mellan staden, regionen, besöksnäringens alla aktörer, akademin och övrigt näringsliv är destinationen Göteborgs viktigaste framgångsfaktor.</w:t>
      </w:r>
    </w:p>
    <w:p w14:paraId="234586E1" w14:textId="1D4B82D6" w:rsidR="2D45ABF1" w:rsidRDefault="2C50BEC7" w:rsidP="00484A33">
      <w:pPr>
        <w:spacing w:line="276" w:lineRule="auto"/>
        <w:rPr>
          <w:rFonts w:ascii="Times New Roman" w:eastAsia="Times New Roman" w:hAnsi="Times New Roman" w:cs="Times New Roman"/>
          <w:b/>
          <w:bCs/>
          <w:color w:val="000000" w:themeColor="text1"/>
          <w:sz w:val="24"/>
          <w:szCs w:val="24"/>
        </w:rPr>
      </w:pPr>
      <w:r w:rsidRPr="4E746557">
        <w:rPr>
          <w:rFonts w:ascii="Times New Roman" w:eastAsia="Times New Roman" w:hAnsi="Times New Roman" w:cs="Times New Roman"/>
          <w:color w:val="000000" w:themeColor="text1"/>
        </w:rPr>
        <w:t>Ett hållbart förhållningssätt inom destinationsutveckling skapar värden tillbaka till destinationen och dess invånare. Göteborgs Stads arbete med hållbar utveckling och Agenda 2030 bygger på ett aktivt deltagande från såväl näringsliv som offentlig verksamhet för att gemensamt nå de lokala och globala mål som är kopplade till de tre hållbarhetsdimensionerna; social, ekonomisk och ekologisk.</w:t>
      </w:r>
      <w:r w:rsidR="1601B6AE" w:rsidRPr="4E746557">
        <w:rPr>
          <w:rFonts w:ascii="Times New Roman" w:eastAsia="Times New Roman" w:hAnsi="Times New Roman" w:cs="Times New Roman"/>
          <w:color w:val="000000" w:themeColor="text1"/>
        </w:rPr>
        <w:t xml:space="preserve"> Destinationen Göteborg har länge haft en </w:t>
      </w:r>
      <w:r w:rsidR="43F5D692" w:rsidRPr="4E746557">
        <w:rPr>
          <w:rFonts w:ascii="Times New Roman" w:eastAsia="Times New Roman" w:hAnsi="Times New Roman" w:cs="Times New Roman"/>
          <w:color w:val="000000" w:themeColor="text1"/>
        </w:rPr>
        <w:t>stark</w:t>
      </w:r>
      <w:r w:rsidR="1601B6AE" w:rsidRPr="4E746557">
        <w:rPr>
          <w:rFonts w:ascii="Times New Roman" w:eastAsia="Times New Roman" w:hAnsi="Times New Roman" w:cs="Times New Roman"/>
          <w:color w:val="000000" w:themeColor="text1"/>
        </w:rPr>
        <w:t xml:space="preserve"> position inom hållbar destinationsutveckli</w:t>
      </w:r>
      <w:r w:rsidR="5931262F" w:rsidRPr="4E746557">
        <w:rPr>
          <w:rFonts w:ascii="Times New Roman" w:eastAsia="Times New Roman" w:hAnsi="Times New Roman" w:cs="Times New Roman"/>
          <w:color w:val="000000" w:themeColor="text1"/>
        </w:rPr>
        <w:t>ng internationellt</w:t>
      </w:r>
      <w:r w:rsidR="1601B6AE" w:rsidRPr="4E746557">
        <w:rPr>
          <w:rFonts w:ascii="Times New Roman" w:eastAsia="Times New Roman" w:hAnsi="Times New Roman" w:cs="Times New Roman"/>
          <w:color w:val="000000" w:themeColor="text1"/>
        </w:rPr>
        <w:t>. I destinationens alla delar ska hänsyn tas till människor, miljö, ekonomi och samhälle, med inställningen att ständigt förbättra och flytta</w:t>
      </w:r>
      <w:r w:rsidR="1AB7F2EE" w:rsidRPr="4E746557">
        <w:rPr>
          <w:rFonts w:ascii="Times New Roman" w:eastAsia="Times New Roman" w:hAnsi="Times New Roman" w:cs="Times New Roman"/>
          <w:color w:val="000000" w:themeColor="text1"/>
        </w:rPr>
        <w:t xml:space="preserve"> </w:t>
      </w:r>
      <w:r w:rsidR="1601B6AE" w:rsidRPr="4E746557">
        <w:rPr>
          <w:rFonts w:ascii="Times New Roman" w:eastAsia="Times New Roman" w:hAnsi="Times New Roman" w:cs="Times New Roman"/>
          <w:color w:val="000000" w:themeColor="text1"/>
        </w:rPr>
        <w:t>fram positionerna.</w:t>
      </w:r>
    </w:p>
    <w:p w14:paraId="08B26BF1" w14:textId="2DA412BA" w:rsidR="00F97269" w:rsidRDefault="00F97269" w:rsidP="00484A33">
      <w:pPr>
        <w:spacing w:line="276" w:lineRule="auto"/>
        <w:rPr>
          <w:rStyle w:val="A1"/>
          <w:rFonts w:ascii="Times New Roman" w:eastAsia="Times New Roman" w:hAnsi="Times New Roman" w:cs="Times New Roman"/>
          <w:b/>
          <w:bCs/>
        </w:rPr>
      </w:pPr>
    </w:p>
    <w:p w14:paraId="1C6E3FA2" w14:textId="656B3075" w:rsidR="00F97269" w:rsidRPr="00484A33" w:rsidRDefault="36995B83" w:rsidP="00484A33">
      <w:pPr>
        <w:pStyle w:val="Rubrik2"/>
        <w:rPr>
          <w:rStyle w:val="A1"/>
          <w:rFonts w:ascii="Arial" w:eastAsia="Times New Roman" w:hAnsi="Arial" w:cs="Arial"/>
          <w:color w:val="auto"/>
          <w:sz w:val="27"/>
          <w:szCs w:val="27"/>
        </w:rPr>
      </w:pPr>
      <w:bookmarkStart w:id="1" w:name="_Toc84334722"/>
      <w:r w:rsidRPr="00484A33">
        <w:rPr>
          <w:rStyle w:val="A1"/>
          <w:rFonts w:ascii="Arial" w:eastAsia="Times New Roman" w:hAnsi="Arial" w:cs="Arial"/>
          <w:color w:val="auto"/>
          <w:sz w:val="27"/>
          <w:szCs w:val="27"/>
        </w:rPr>
        <w:t>Beskrivning av besöksnäringens ekosystem</w:t>
      </w:r>
      <w:bookmarkEnd w:id="1"/>
    </w:p>
    <w:p w14:paraId="2DDBD7C1" w14:textId="3B8D9D7B" w:rsidR="5E304EAD" w:rsidRDefault="7DF3F383" w:rsidP="00484A33">
      <w:pPr>
        <w:spacing w:line="276" w:lineRule="auto"/>
        <w:rPr>
          <w:rFonts w:ascii="Times New Roman" w:eastAsia="Times New Roman" w:hAnsi="Times New Roman" w:cs="Times New Roman"/>
          <w:color w:val="333333"/>
        </w:rPr>
      </w:pPr>
      <w:r w:rsidRPr="4E746557">
        <w:rPr>
          <w:rFonts w:ascii="Times New Roman" w:eastAsia="Times New Roman" w:hAnsi="Times New Roman" w:cs="Times New Roman"/>
          <w:color w:val="333333"/>
        </w:rPr>
        <w:t xml:space="preserve">En stor del av det som gör Göteborg till en attraktiv och levande </w:t>
      </w:r>
      <w:r w:rsidR="192CC967" w:rsidRPr="4E746557">
        <w:rPr>
          <w:rFonts w:ascii="Times New Roman" w:eastAsia="Times New Roman" w:hAnsi="Times New Roman" w:cs="Times New Roman"/>
          <w:color w:val="333333"/>
        </w:rPr>
        <w:t>destination</w:t>
      </w:r>
      <w:r w:rsidRPr="4E746557">
        <w:rPr>
          <w:rFonts w:ascii="Times New Roman" w:eastAsia="Times New Roman" w:hAnsi="Times New Roman" w:cs="Times New Roman"/>
          <w:color w:val="333333"/>
        </w:rPr>
        <w:t xml:space="preserve"> skapas av besöksnäringen. Ett välmående och brett utbud av </w:t>
      </w:r>
      <w:r w:rsidR="6ED57BF8" w:rsidRPr="4E746557">
        <w:rPr>
          <w:rFonts w:ascii="Times New Roman" w:eastAsia="Times New Roman" w:hAnsi="Times New Roman" w:cs="Times New Roman"/>
          <w:color w:val="333333"/>
        </w:rPr>
        <w:t>t.ex.</w:t>
      </w:r>
      <w:r w:rsidRPr="4E746557">
        <w:rPr>
          <w:rFonts w:ascii="Times New Roman" w:eastAsia="Times New Roman" w:hAnsi="Times New Roman" w:cs="Times New Roman"/>
          <w:color w:val="333333"/>
        </w:rPr>
        <w:t xml:space="preserve"> kultur- och nöjesaktiviteter, handel och restauranger höjer livskvaliteten för invånarna och ökar samtidigt regionens attraktivitet. En plats med möjlighet till en rik fritid med mycket att uppleva gör platsen intressant att besöka, att studera på, att arbeta eller att etablera sig på.</w:t>
      </w:r>
    </w:p>
    <w:p w14:paraId="47617D15" w14:textId="7585309B" w:rsidR="5E304EAD" w:rsidRDefault="5E304EAD" w:rsidP="00484A33">
      <w:pPr>
        <w:spacing w:line="276" w:lineRule="auto"/>
        <w:rPr>
          <w:rFonts w:ascii="Times New Roman" w:eastAsia="Times New Roman" w:hAnsi="Times New Roman" w:cs="Times New Roman"/>
          <w:color w:val="333333"/>
        </w:rPr>
      </w:pPr>
      <w:r w:rsidRPr="7328303B">
        <w:rPr>
          <w:rFonts w:ascii="Times New Roman" w:eastAsia="Times New Roman" w:hAnsi="Times New Roman" w:cs="Times New Roman"/>
          <w:color w:val="333333"/>
        </w:rPr>
        <w:lastRenderedPageBreak/>
        <w:t>Att skapa en attraktiv destination för besökare bidrar till en öppen och hållbar samhällsutveckling. En destinations utveckling vilar på en god samverkan mellan det offentliga, det privata näringslivet, ideella organisationer och akademin. Det är synergierna mellan ekosystemets olika delar och vinsterna av att se helheten för destinationens bästa som gör att Göteborg kommer att kunna stå ut i det myller av destinationer som slåss om att vara morgondagens attraktiva resmål.</w:t>
      </w:r>
    </w:p>
    <w:p w14:paraId="1F4910F0" w14:textId="57C64321" w:rsidR="00CA3A1D" w:rsidRDefault="6D6A0AF8" w:rsidP="00484A33">
      <w:pPr>
        <w:spacing w:line="276" w:lineRule="auto"/>
        <w:rPr>
          <w:rFonts w:ascii="Times New Roman" w:eastAsia="Times New Roman" w:hAnsi="Times New Roman" w:cs="Times New Roman"/>
        </w:rPr>
      </w:pPr>
      <w:r w:rsidRPr="7328303B">
        <w:rPr>
          <w:rFonts w:ascii="Times New Roman" w:eastAsia="Times New Roman" w:hAnsi="Times New Roman" w:cs="Times New Roman"/>
        </w:rPr>
        <w:t>D</w:t>
      </w:r>
      <w:r w:rsidRPr="7328303B">
        <w:rPr>
          <w:rFonts w:ascii="Times New Roman" w:eastAsia="Times New Roman" w:hAnsi="Times New Roman" w:cs="Times New Roman"/>
          <w:color w:val="333333"/>
        </w:rPr>
        <w:t>estinationens hållbarhetsarbete är beroende av stadens när det gäller grundläggande service, infrastruktur och andra hållbara insatser. En framgångsrik samverkan mellan s</w:t>
      </w:r>
      <w:r w:rsidRPr="7328303B">
        <w:rPr>
          <w:rFonts w:ascii="Times New Roman" w:eastAsia="Times New Roman" w:hAnsi="Times New Roman" w:cs="Times New Roman"/>
        </w:rPr>
        <w:t xml:space="preserve">tadens verksamheter och besöksnäringens olika aktörer är en förutsättning för och bidrar till en hållbar destination 2030. </w:t>
      </w:r>
      <w:r w:rsidR="00484A33">
        <w:rPr>
          <w:rFonts w:ascii="Times New Roman" w:eastAsia="Times New Roman" w:hAnsi="Times New Roman" w:cs="Times New Roman"/>
        </w:rPr>
        <w:t>I</w:t>
      </w:r>
      <w:r w:rsidRPr="7328303B">
        <w:rPr>
          <w:rFonts w:ascii="Times New Roman" w:eastAsia="Times New Roman" w:hAnsi="Times New Roman" w:cs="Times New Roman"/>
        </w:rPr>
        <w:t>llustrationen nedan visar besöksnäringens samspel med samhället.</w:t>
      </w:r>
    </w:p>
    <w:p w14:paraId="2DA3D53C" w14:textId="6C0A39C1" w:rsidR="00F97269" w:rsidRDefault="00CA3A1D" w:rsidP="00484A33">
      <w:pPr>
        <w:spacing w:line="276" w:lineRule="auto"/>
      </w:pPr>
      <w:r>
        <w:rPr>
          <w:noProof/>
          <w:color w:val="2B579A"/>
          <w:shd w:val="clear" w:color="auto" w:fill="E6E6E6"/>
        </w:rPr>
        <w:drawing>
          <wp:anchor distT="0" distB="0" distL="114300" distR="114300" simplePos="0" relativeHeight="251658240" behindDoc="0" locked="0" layoutInCell="1" allowOverlap="1" wp14:anchorId="4BBAA30B" wp14:editId="00686A7D">
            <wp:simplePos x="0" y="0"/>
            <wp:positionH relativeFrom="margin">
              <wp:posOffset>13018</wp:posOffset>
            </wp:positionH>
            <wp:positionV relativeFrom="paragraph">
              <wp:posOffset>102553</wp:posOffset>
            </wp:positionV>
            <wp:extent cx="5230702" cy="7396156"/>
            <wp:effectExtent l="0" t="0" r="8255" b="0"/>
            <wp:wrapNone/>
            <wp:docPr id="722317349" name="Bildobjekt 72231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230702" cy="7396156"/>
                    </a:xfrm>
                    <a:prstGeom prst="rect">
                      <a:avLst/>
                    </a:prstGeom>
                  </pic:spPr>
                </pic:pic>
              </a:graphicData>
            </a:graphic>
          </wp:anchor>
        </w:drawing>
      </w:r>
    </w:p>
    <w:p w14:paraId="3A8BA19A" w14:textId="40243D28" w:rsidR="6F553BC0" w:rsidRDefault="6F553BC0" w:rsidP="00484A33">
      <w:pPr>
        <w:spacing w:line="276" w:lineRule="auto"/>
        <w:rPr>
          <w:rStyle w:val="A1"/>
          <w:rFonts w:ascii="Times New Roman" w:eastAsia="Times New Roman" w:hAnsi="Times New Roman" w:cs="Times New Roman"/>
        </w:rPr>
      </w:pPr>
    </w:p>
    <w:p w14:paraId="456A74B2" w14:textId="56F9E65C" w:rsidR="6F553BC0" w:rsidRDefault="6F553BC0" w:rsidP="00484A33">
      <w:pPr>
        <w:spacing w:line="276" w:lineRule="auto"/>
        <w:rPr>
          <w:rStyle w:val="A1"/>
          <w:rFonts w:ascii="Times New Roman" w:eastAsia="Times New Roman" w:hAnsi="Times New Roman" w:cs="Times New Roman"/>
        </w:rPr>
      </w:pPr>
    </w:p>
    <w:p w14:paraId="4636DCF9" w14:textId="77777777" w:rsidR="00CA3A1D" w:rsidRDefault="00CA3A1D" w:rsidP="00484A33">
      <w:pPr>
        <w:spacing w:line="276" w:lineRule="auto"/>
        <w:rPr>
          <w:rStyle w:val="A1"/>
          <w:rFonts w:ascii="Times New Roman" w:eastAsia="Times New Roman" w:hAnsi="Times New Roman" w:cs="Times New Roman"/>
        </w:rPr>
      </w:pPr>
    </w:p>
    <w:p w14:paraId="31C78D68" w14:textId="77777777" w:rsidR="00CA3A1D" w:rsidRDefault="00CA3A1D" w:rsidP="00484A33">
      <w:pPr>
        <w:spacing w:line="276" w:lineRule="auto"/>
        <w:rPr>
          <w:rStyle w:val="A1"/>
          <w:rFonts w:ascii="Times New Roman" w:eastAsia="Times New Roman" w:hAnsi="Times New Roman" w:cs="Times New Roman"/>
        </w:rPr>
      </w:pPr>
    </w:p>
    <w:p w14:paraId="46EDC220" w14:textId="29AF635F" w:rsidR="00CA3A1D" w:rsidRDefault="00CA3A1D" w:rsidP="00484A33">
      <w:pPr>
        <w:spacing w:line="276" w:lineRule="auto"/>
        <w:rPr>
          <w:rStyle w:val="A1"/>
          <w:rFonts w:ascii="Times New Roman" w:eastAsia="Times New Roman" w:hAnsi="Times New Roman" w:cs="Times New Roman"/>
        </w:rPr>
      </w:pPr>
    </w:p>
    <w:p w14:paraId="06EF9E44" w14:textId="77777777" w:rsidR="00CA3A1D" w:rsidRDefault="00CA3A1D" w:rsidP="00484A33">
      <w:pPr>
        <w:spacing w:line="276" w:lineRule="auto"/>
        <w:rPr>
          <w:rStyle w:val="A1"/>
          <w:rFonts w:ascii="Times New Roman" w:eastAsia="Times New Roman" w:hAnsi="Times New Roman" w:cs="Times New Roman"/>
        </w:rPr>
      </w:pPr>
    </w:p>
    <w:p w14:paraId="15DD032D" w14:textId="01449DA6" w:rsidR="00CA3A1D" w:rsidRDefault="00CA3A1D" w:rsidP="00484A33">
      <w:pPr>
        <w:spacing w:line="276" w:lineRule="auto"/>
        <w:rPr>
          <w:rStyle w:val="A1"/>
          <w:rFonts w:ascii="Times New Roman" w:eastAsia="Times New Roman" w:hAnsi="Times New Roman" w:cs="Times New Roman"/>
        </w:rPr>
      </w:pPr>
    </w:p>
    <w:p w14:paraId="68E2FFC0" w14:textId="77777777" w:rsidR="00CA3A1D" w:rsidRDefault="00CA3A1D" w:rsidP="00484A33">
      <w:pPr>
        <w:spacing w:line="276" w:lineRule="auto"/>
        <w:rPr>
          <w:rStyle w:val="A1"/>
          <w:rFonts w:ascii="Times New Roman" w:eastAsia="Times New Roman" w:hAnsi="Times New Roman" w:cs="Times New Roman"/>
        </w:rPr>
      </w:pPr>
    </w:p>
    <w:p w14:paraId="5BAC463F" w14:textId="77777777" w:rsidR="00CA3A1D" w:rsidRDefault="00CA3A1D" w:rsidP="00484A33">
      <w:pPr>
        <w:spacing w:line="276" w:lineRule="auto"/>
        <w:rPr>
          <w:rStyle w:val="A1"/>
          <w:rFonts w:ascii="Times New Roman" w:eastAsia="Times New Roman" w:hAnsi="Times New Roman" w:cs="Times New Roman"/>
        </w:rPr>
      </w:pPr>
    </w:p>
    <w:p w14:paraId="26483C92" w14:textId="77777777" w:rsidR="00CA3A1D" w:rsidRDefault="00CA3A1D" w:rsidP="00484A33">
      <w:pPr>
        <w:spacing w:line="276" w:lineRule="auto"/>
        <w:rPr>
          <w:rStyle w:val="A1"/>
          <w:rFonts w:ascii="Times New Roman" w:eastAsia="Times New Roman" w:hAnsi="Times New Roman" w:cs="Times New Roman"/>
        </w:rPr>
      </w:pPr>
    </w:p>
    <w:p w14:paraId="4251DB1B" w14:textId="5857C239" w:rsidR="00CA3A1D" w:rsidRDefault="00CA3A1D" w:rsidP="00484A33">
      <w:pPr>
        <w:spacing w:line="276" w:lineRule="auto"/>
        <w:rPr>
          <w:rStyle w:val="A1"/>
          <w:rFonts w:ascii="Times New Roman" w:eastAsia="Times New Roman" w:hAnsi="Times New Roman" w:cs="Times New Roman"/>
        </w:rPr>
      </w:pPr>
    </w:p>
    <w:p w14:paraId="56242E08" w14:textId="77777777" w:rsidR="00CA3A1D" w:rsidRDefault="00CA3A1D" w:rsidP="00484A33">
      <w:pPr>
        <w:spacing w:line="276" w:lineRule="auto"/>
        <w:rPr>
          <w:rStyle w:val="A1"/>
          <w:rFonts w:ascii="Times New Roman" w:eastAsia="Times New Roman" w:hAnsi="Times New Roman" w:cs="Times New Roman"/>
        </w:rPr>
      </w:pPr>
    </w:p>
    <w:p w14:paraId="2F3BED21" w14:textId="77777777" w:rsidR="00CA3A1D" w:rsidRDefault="00CA3A1D" w:rsidP="00484A33">
      <w:pPr>
        <w:spacing w:line="276" w:lineRule="auto"/>
        <w:rPr>
          <w:rStyle w:val="A1"/>
          <w:rFonts w:ascii="Times New Roman" w:eastAsia="Times New Roman" w:hAnsi="Times New Roman" w:cs="Times New Roman"/>
        </w:rPr>
      </w:pPr>
    </w:p>
    <w:p w14:paraId="3A1C3E16" w14:textId="77777777" w:rsidR="00CA3A1D" w:rsidRDefault="00CA3A1D" w:rsidP="00484A33">
      <w:pPr>
        <w:spacing w:line="276" w:lineRule="auto"/>
        <w:rPr>
          <w:rStyle w:val="A1"/>
          <w:rFonts w:ascii="Times New Roman" w:eastAsia="Times New Roman" w:hAnsi="Times New Roman" w:cs="Times New Roman"/>
        </w:rPr>
      </w:pPr>
    </w:p>
    <w:p w14:paraId="12105554" w14:textId="77777777" w:rsidR="00CA3A1D" w:rsidRDefault="00CA3A1D" w:rsidP="00484A33">
      <w:pPr>
        <w:spacing w:line="276" w:lineRule="auto"/>
        <w:rPr>
          <w:rStyle w:val="A1"/>
          <w:rFonts w:ascii="Times New Roman" w:eastAsia="Times New Roman" w:hAnsi="Times New Roman" w:cs="Times New Roman"/>
        </w:rPr>
      </w:pPr>
    </w:p>
    <w:p w14:paraId="5F1C494D" w14:textId="51E85E46" w:rsidR="00CA3A1D" w:rsidRDefault="00CA3A1D" w:rsidP="00484A33">
      <w:pPr>
        <w:spacing w:line="276" w:lineRule="auto"/>
        <w:rPr>
          <w:rStyle w:val="A1"/>
          <w:rFonts w:ascii="Times New Roman" w:eastAsia="Times New Roman" w:hAnsi="Times New Roman" w:cs="Times New Roman"/>
        </w:rPr>
      </w:pPr>
    </w:p>
    <w:p w14:paraId="1CC50C55" w14:textId="77777777" w:rsidR="00CA3A1D" w:rsidRDefault="00CA3A1D" w:rsidP="00484A33">
      <w:pPr>
        <w:spacing w:line="276" w:lineRule="auto"/>
        <w:rPr>
          <w:rStyle w:val="A1"/>
          <w:rFonts w:ascii="Times New Roman" w:eastAsia="Times New Roman" w:hAnsi="Times New Roman" w:cs="Times New Roman"/>
        </w:rPr>
      </w:pPr>
    </w:p>
    <w:p w14:paraId="42B220E1" w14:textId="7097470C" w:rsidR="00CA3A1D" w:rsidRDefault="00CA3A1D" w:rsidP="00484A33">
      <w:pPr>
        <w:spacing w:line="276" w:lineRule="auto"/>
        <w:rPr>
          <w:rStyle w:val="A1"/>
          <w:rFonts w:ascii="Times New Roman" w:eastAsia="Times New Roman" w:hAnsi="Times New Roman" w:cs="Times New Roman"/>
        </w:rPr>
      </w:pPr>
    </w:p>
    <w:p w14:paraId="25733C67" w14:textId="1AA6C7C5" w:rsidR="00CA3A1D" w:rsidRDefault="00CA3A1D" w:rsidP="00484A33">
      <w:pPr>
        <w:spacing w:line="276" w:lineRule="auto"/>
        <w:rPr>
          <w:rStyle w:val="A1"/>
          <w:rFonts w:ascii="Times New Roman" w:eastAsia="Times New Roman" w:hAnsi="Times New Roman" w:cs="Times New Roman"/>
        </w:rPr>
      </w:pPr>
    </w:p>
    <w:p w14:paraId="6410ACA2" w14:textId="77777777" w:rsidR="00CA3A1D" w:rsidRDefault="00CA3A1D" w:rsidP="00484A33">
      <w:pPr>
        <w:spacing w:line="276" w:lineRule="auto"/>
        <w:rPr>
          <w:rStyle w:val="A1"/>
          <w:rFonts w:ascii="Times New Roman" w:eastAsia="Times New Roman" w:hAnsi="Times New Roman" w:cs="Times New Roman"/>
        </w:rPr>
      </w:pPr>
    </w:p>
    <w:p w14:paraId="3DC2C8E4" w14:textId="3639DE6D" w:rsidR="6F553BC0" w:rsidRDefault="6F553BC0" w:rsidP="00484A33">
      <w:pPr>
        <w:spacing w:line="276" w:lineRule="auto"/>
        <w:rPr>
          <w:rStyle w:val="A1"/>
          <w:rFonts w:ascii="Times New Roman" w:eastAsia="Times New Roman" w:hAnsi="Times New Roman" w:cs="Times New Roman"/>
        </w:rPr>
      </w:pPr>
    </w:p>
    <w:p w14:paraId="4139BECB" w14:textId="73A45013" w:rsidR="6F553BC0" w:rsidRDefault="6F553BC0" w:rsidP="00484A33">
      <w:pPr>
        <w:spacing w:line="276" w:lineRule="auto"/>
        <w:rPr>
          <w:rStyle w:val="A1"/>
          <w:rFonts w:ascii="Times New Roman" w:eastAsia="Times New Roman" w:hAnsi="Times New Roman" w:cs="Times New Roman"/>
        </w:rPr>
      </w:pPr>
    </w:p>
    <w:p w14:paraId="00B1EB9C" w14:textId="043827CD" w:rsidR="6F553BC0" w:rsidRDefault="6F553BC0" w:rsidP="00484A33">
      <w:pPr>
        <w:spacing w:line="276" w:lineRule="auto"/>
        <w:rPr>
          <w:rStyle w:val="A1"/>
          <w:rFonts w:ascii="Times New Roman" w:eastAsia="Times New Roman" w:hAnsi="Times New Roman" w:cs="Times New Roman"/>
        </w:rPr>
      </w:pPr>
    </w:p>
    <w:p w14:paraId="57130A36" w14:textId="16152E9C" w:rsidR="00F97269" w:rsidRPr="009E7B8F" w:rsidRDefault="45D202EF" w:rsidP="00484A33">
      <w:pPr>
        <w:spacing w:line="276" w:lineRule="auto"/>
        <w:rPr>
          <w:rFonts w:ascii="Times New Roman" w:eastAsia="Times New Roman" w:hAnsi="Times New Roman" w:cs="Times New Roman"/>
          <w:color w:val="000000" w:themeColor="text1"/>
        </w:rPr>
      </w:pPr>
      <w:r w:rsidRPr="4E746557">
        <w:rPr>
          <w:rStyle w:val="A1"/>
          <w:rFonts w:ascii="Times New Roman" w:eastAsia="Times New Roman" w:hAnsi="Times New Roman" w:cs="Times New Roman"/>
        </w:rPr>
        <w:lastRenderedPageBreak/>
        <w:t xml:space="preserve">Besöksnäringen utgörs av många olika sektorer och aktörer. Bilden </w:t>
      </w:r>
      <w:r w:rsidR="4413A6C1" w:rsidRPr="4E746557">
        <w:rPr>
          <w:rStyle w:val="A1"/>
          <w:rFonts w:ascii="Times New Roman" w:eastAsia="Times New Roman" w:hAnsi="Times New Roman" w:cs="Times New Roman"/>
        </w:rPr>
        <w:t xml:space="preserve">nedan </w:t>
      </w:r>
      <w:r w:rsidRPr="4E746557">
        <w:rPr>
          <w:rStyle w:val="A1"/>
          <w:rFonts w:ascii="Times New Roman" w:eastAsia="Times New Roman" w:hAnsi="Times New Roman" w:cs="Times New Roman"/>
        </w:rPr>
        <w:t>visar på ett förenklat sätt det som kan kallas besöksnäringens ekosystem. Ett ekosystem med många inbördes beroenden och påverkan. Om exempelvis efterfrågan på evenemang och hotellrum minskar så påverkar detta restaurangerna och upplevelsebranschen. Om utbudet av aktiviteter och reseanledningar minskas eller inte anses intressant, så påverkas stadens attraktionskraft. Konsekvensen kan vara färre besökare, kortare vistelser och att potentiella besökare väljer andra destinationer i Sverige eller utomlands. Om tillgängligheten är begränsad, som begränsad flygtrafik under pandemin, påverkar detta efterfrågan inom besöksnäringens övriga delbranscher.</w:t>
      </w:r>
      <w:r w:rsidRPr="4E746557">
        <w:rPr>
          <w:rStyle w:val="A1"/>
          <w:rFonts w:ascii="Times New Roman" w:eastAsia="Times New Roman" w:hAnsi="Times New Roman" w:cs="Times New Roman"/>
          <w:color w:val="FF0000"/>
        </w:rPr>
        <w:t xml:space="preserve"> </w:t>
      </w:r>
      <w:r w:rsidR="005E5EA5">
        <w:rPr>
          <w:rStyle w:val="A1"/>
          <w:rFonts w:ascii="Times New Roman" w:eastAsia="Times New Roman" w:hAnsi="Times New Roman" w:cs="Times New Roman"/>
          <w:color w:val="FF0000"/>
        </w:rPr>
        <w:br/>
      </w:r>
      <w:r w:rsidR="41EF5B5D">
        <w:rPr>
          <w:noProof/>
          <w:color w:val="2B579A"/>
          <w:shd w:val="clear" w:color="auto" w:fill="E6E6E6"/>
        </w:rPr>
        <w:drawing>
          <wp:inline distT="0" distB="0" distL="0" distR="0" wp14:anchorId="6D76B793" wp14:editId="77379C56">
            <wp:extent cx="4666297" cy="7229475"/>
            <wp:effectExtent l="0" t="0" r="1270" b="0"/>
            <wp:docPr id="1531705398" name="Bildobjekt 153170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05398" name="Bildobjekt 1531705398"/>
                    <pic:cNvPicPr/>
                  </pic:nvPicPr>
                  <pic:blipFill>
                    <a:blip r:embed="rId13">
                      <a:extLst>
                        <a:ext uri="{28A0092B-C50C-407E-A947-70E740481C1C}">
                          <a14:useLocalDpi xmlns:a14="http://schemas.microsoft.com/office/drawing/2010/main" val="0"/>
                        </a:ext>
                      </a:extLst>
                    </a:blip>
                    <a:stretch>
                      <a:fillRect/>
                    </a:stretch>
                  </pic:blipFill>
                  <pic:spPr>
                    <a:xfrm>
                      <a:off x="0" y="0"/>
                      <a:ext cx="4666297" cy="7229475"/>
                    </a:xfrm>
                    <a:prstGeom prst="rect">
                      <a:avLst/>
                    </a:prstGeom>
                  </pic:spPr>
                </pic:pic>
              </a:graphicData>
            </a:graphic>
          </wp:inline>
        </w:drawing>
      </w:r>
    </w:p>
    <w:p w14:paraId="7A3DA3DA" w14:textId="7FB148A7" w:rsidR="00F97269" w:rsidRPr="00484A33" w:rsidRDefault="091EA154" w:rsidP="00484A33">
      <w:pPr>
        <w:pStyle w:val="Rubrik2"/>
      </w:pPr>
      <w:bookmarkStart w:id="2" w:name="_Toc84334723"/>
      <w:r w:rsidRPr="00484A33">
        <w:rPr>
          <w:rStyle w:val="normaltextrun"/>
        </w:rPr>
        <w:lastRenderedPageBreak/>
        <w:t>Omvärldsanalys</w:t>
      </w:r>
      <w:r w:rsidR="63DED76F" w:rsidRPr="00484A33">
        <w:rPr>
          <w:rStyle w:val="normaltextrun"/>
        </w:rPr>
        <w:t xml:space="preserve"> </w:t>
      </w:r>
      <w:r w:rsidR="1FD5DF48" w:rsidRPr="00484A33">
        <w:rPr>
          <w:rStyle w:val="normaltextrun"/>
        </w:rPr>
        <w:t xml:space="preserve">hösten </w:t>
      </w:r>
      <w:r w:rsidR="63DED76F" w:rsidRPr="00484A33">
        <w:rPr>
          <w:rStyle w:val="normaltextrun"/>
        </w:rPr>
        <w:t>2021</w:t>
      </w:r>
      <w:bookmarkEnd w:id="2"/>
    </w:p>
    <w:p w14:paraId="542B6DA3" w14:textId="4298AF47" w:rsidR="5CF02F48" w:rsidRDefault="5CF02F48" w:rsidP="00484A33">
      <w:pPr>
        <w:spacing w:line="276" w:lineRule="auto"/>
        <w:rPr>
          <w:rFonts w:ascii="Times New Roman" w:eastAsia="Times New Roman" w:hAnsi="Times New Roman" w:cs="Times New Roman"/>
          <w:color w:val="000000" w:themeColor="text1"/>
        </w:rPr>
      </w:pPr>
      <w:r w:rsidRPr="0FB796E3">
        <w:rPr>
          <w:rFonts w:ascii="Times New Roman" w:eastAsia="Times New Roman" w:hAnsi="Times New Roman" w:cs="Times New Roman"/>
          <w:color w:val="000000" w:themeColor="text1"/>
        </w:rPr>
        <w:t xml:space="preserve">Inom ramen för arbetet med Göteborgs Stads program för besöksnäringens utveckling </w:t>
      </w:r>
      <w:r w:rsidR="3008731B" w:rsidRPr="0FB796E3">
        <w:rPr>
          <w:rFonts w:ascii="Times New Roman" w:eastAsia="Times New Roman" w:hAnsi="Times New Roman" w:cs="Times New Roman"/>
          <w:color w:val="000000" w:themeColor="text1"/>
        </w:rPr>
        <w:t>2022–2030</w:t>
      </w:r>
      <w:r w:rsidR="0C2567D7" w:rsidRPr="0FB796E3">
        <w:rPr>
          <w:rFonts w:ascii="Times New Roman" w:eastAsia="Times New Roman" w:hAnsi="Times New Roman" w:cs="Times New Roman"/>
          <w:color w:val="000000" w:themeColor="text1"/>
        </w:rPr>
        <w:t xml:space="preserve"> </w:t>
      </w:r>
      <w:r w:rsidRPr="0FB796E3">
        <w:rPr>
          <w:rFonts w:ascii="Times New Roman" w:eastAsia="Times New Roman" w:hAnsi="Times New Roman" w:cs="Times New Roman"/>
          <w:color w:val="000000" w:themeColor="text1"/>
        </w:rPr>
        <w:t xml:space="preserve">har omvärldsbevakning genomförts </w:t>
      </w:r>
      <w:r w:rsidR="662238C9" w:rsidRPr="0FB796E3">
        <w:rPr>
          <w:rFonts w:ascii="Times New Roman" w:eastAsia="Times New Roman" w:hAnsi="Times New Roman" w:cs="Times New Roman"/>
          <w:color w:val="000000" w:themeColor="text1"/>
        </w:rPr>
        <w:t xml:space="preserve">löpande </w:t>
      </w:r>
      <w:r w:rsidRPr="0FB796E3">
        <w:rPr>
          <w:rFonts w:ascii="Times New Roman" w:eastAsia="Times New Roman" w:hAnsi="Times New Roman" w:cs="Times New Roman"/>
          <w:color w:val="000000" w:themeColor="text1"/>
        </w:rPr>
        <w:t xml:space="preserve">och hänsyn </w:t>
      </w:r>
      <w:r w:rsidR="6330E451" w:rsidRPr="0FB796E3">
        <w:rPr>
          <w:rFonts w:ascii="Times New Roman" w:eastAsia="Times New Roman" w:hAnsi="Times New Roman" w:cs="Times New Roman"/>
          <w:color w:val="000000" w:themeColor="text1"/>
        </w:rPr>
        <w:t xml:space="preserve">har </w:t>
      </w:r>
      <w:r w:rsidRPr="0FB796E3">
        <w:rPr>
          <w:rFonts w:ascii="Times New Roman" w:eastAsia="Times New Roman" w:hAnsi="Times New Roman" w:cs="Times New Roman"/>
          <w:color w:val="000000" w:themeColor="text1"/>
        </w:rPr>
        <w:t>tagits till fenomen</w:t>
      </w:r>
      <w:r w:rsidR="2CAAF7A8" w:rsidRPr="0FB796E3">
        <w:rPr>
          <w:rFonts w:ascii="Times New Roman" w:eastAsia="Times New Roman" w:hAnsi="Times New Roman" w:cs="Times New Roman"/>
          <w:color w:val="000000" w:themeColor="text1"/>
        </w:rPr>
        <w:t xml:space="preserve">, </w:t>
      </w:r>
      <w:r w:rsidRPr="0FB796E3">
        <w:rPr>
          <w:rFonts w:ascii="Times New Roman" w:eastAsia="Times New Roman" w:hAnsi="Times New Roman" w:cs="Times New Roman"/>
          <w:color w:val="000000" w:themeColor="text1"/>
        </w:rPr>
        <w:t>trender</w:t>
      </w:r>
      <w:r w:rsidR="1CC640A5" w:rsidRPr="0FB796E3">
        <w:rPr>
          <w:rFonts w:ascii="Times New Roman" w:eastAsia="Times New Roman" w:hAnsi="Times New Roman" w:cs="Times New Roman"/>
          <w:color w:val="000000" w:themeColor="text1"/>
        </w:rPr>
        <w:t xml:space="preserve"> och konsumentbeteenden</w:t>
      </w:r>
      <w:r w:rsidRPr="0FB796E3">
        <w:rPr>
          <w:rFonts w:ascii="Times New Roman" w:eastAsia="Times New Roman" w:hAnsi="Times New Roman" w:cs="Times New Roman"/>
          <w:color w:val="000000" w:themeColor="text1"/>
        </w:rPr>
        <w:t xml:space="preserve"> som på olika sätt </w:t>
      </w:r>
      <w:r w:rsidR="26446144" w:rsidRPr="0FB796E3">
        <w:rPr>
          <w:rFonts w:ascii="Times New Roman" w:eastAsia="Times New Roman" w:hAnsi="Times New Roman" w:cs="Times New Roman"/>
          <w:color w:val="000000" w:themeColor="text1"/>
        </w:rPr>
        <w:t xml:space="preserve">får effekt på efterfrågan inom </w:t>
      </w:r>
      <w:r w:rsidRPr="0FB796E3">
        <w:rPr>
          <w:rFonts w:ascii="Times New Roman" w:eastAsia="Times New Roman" w:hAnsi="Times New Roman" w:cs="Times New Roman"/>
          <w:color w:val="000000" w:themeColor="text1"/>
        </w:rPr>
        <w:t xml:space="preserve">besöksnäringen. </w:t>
      </w:r>
    </w:p>
    <w:p w14:paraId="1AF14F6B" w14:textId="6FF0FF50" w:rsidR="6BE856CF" w:rsidRDefault="6BE856CF" w:rsidP="00484A33">
      <w:pPr>
        <w:spacing w:line="276" w:lineRule="auto"/>
        <w:rPr>
          <w:rFonts w:ascii="Times New Roman" w:eastAsia="Times New Roman" w:hAnsi="Times New Roman" w:cs="Times New Roman"/>
          <w:color w:val="000000" w:themeColor="text1"/>
        </w:rPr>
      </w:pPr>
      <w:r w:rsidRPr="458B65FA">
        <w:rPr>
          <w:rFonts w:ascii="Times New Roman" w:eastAsia="Times New Roman" w:hAnsi="Times New Roman" w:cs="Times New Roman"/>
          <w:color w:val="000000" w:themeColor="text1"/>
        </w:rPr>
        <w:t xml:space="preserve">Precis som andra näringar behöver besöksnäringen förhålla sig till omvärlden och </w:t>
      </w:r>
      <w:r w:rsidR="6C88CF2D" w:rsidRPr="458B65FA">
        <w:rPr>
          <w:rFonts w:ascii="Times New Roman" w:eastAsia="Times New Roman" w:hAnsi="Times New Roman" w:cs="Times New Roman"/>
          <w:color w:val="000000" w:themeColor="text1"/>
        </w:rPr>
        <w:t xml:space="preserve">till </w:t>
      </w:r>
      <w:r w:rsidRPr="458B65FA">
        <w:rPr>
          <w:rFonts w:ascii="Times New Roman" w:eastAsia="Times New Roman" w:hAnsi="Times New Roman" w:cs="Times New Roman"/>
          <w:color w:val="000000" w:themeColor="text1"/>
        </w:rPr>
        <w:t>övergripande trender som påverkar konsumenters behov och beteenden. Flera större trender</w:t>
      </w:r>
      <w:r w:rsidR="276B880B" w:rsidRPr="458B65FA">
        <w:rPr>
          <w:rFonts w:ascii="Times New Roman" w:eastAsia="Times New Roman" w:hAnsi="Times New Roman" w:cs="Times New Roman"/>
          <w:color w:val="000000" w:themeColor="text1"/>
        </w:rPr>
        <w:t>, exempelvis</w:t>
      </w:r>
      <w:r w:rsidRPr="458B65FA">
        <w:rPr>
          <w:rFonts w:ascii="Times New Roman" w:eastAsia="Times New Roman" w:hAnsi="Times New Roman" w:cs="Times New Roman"/>
          <w:color w:val="000000" w:themeColor="text1"/>
        </w:rPr>
        <w:t xml:space="preserve"> digitalisering och </w:t>
      </w:r>
      <w:r w:rsidR="797408FC" w:rsidRPr="458B65FA">
        <w:rPr>
          <w:rFonts w:ascii="Times New Roman" w:eastAsia="Times New Roman" w:hAnsi="Times New Roman" w:cs="Times New Roman"/>
          <w:color w:val="000000" w:themeColor="text1"/>
        </w:rPr>
        <w:t xml:space="preserve">ett ökat globalt </w:t>
      </w:r>
      <w:r w:rsidRPr="458B65FA">
        <w:rPr>
          <w:rFonts w:ascii="Times New Roman" w:eastAsia="Times New Roman" w:hAnsi="Times New Roman" w:cs="Times New Roman"/>
          <w:color w:val="000000" w:themeColor="text1"/>
        </w:rPr>
        <w:t xml:space="preserve">engagemang </w:t>
      </w:r>
      <w:r w:rsidR="240D2428" w:rsidRPr="458B65FA">
        <w:rPr>
          <w:rFonts w:ascii="Times New Roman" w:eastAsia="Times New Roman" w:hAnsi="Times New Roman" w:cs="Times New Roman"/>
          <w:color w:val="000000" w:themeColor="text1"/>
        </w:rPr>
        <w:t xml:space="preserve">för </w:t>
      </w:r>
      <w:r w:rsidRPr="458B65FA">
        <w:rPr>
          <w:rFonts w:ascii="Times New Roman" w:eastAsia="Times New Roman" w:hAnsi="Times New Roman" w:cs="Times New Roman"/>
          <w:color w:val="000000" w:themeColor="text1"/>
        </w:rPr>
        <w:t>hållbarhetsfrågor</w:t>
      </w:r>
      <w:r w:rsidR="2E587471" w:rsidRPr="458B65FA">
        <w:rPr>
          <w:rFonts w:ascii="Times New Roman" w:eastAsia="Times New Roman" w:hAnsi="Times New Roman" w:cs="Times New Roman"/>
          <w:color w:val="000000" w:themeColor="text1"/>
        </w:rPr>
        <w:t>,</w:t>
      </w:r>
      <w:r w:rsidRPr="458B65FA">
        <w:rPr>
          <w:rFonts w:ascii="Times New Roman" w:eastAsia="Times New Roman" w:hAnsi="Times New Roman" w:cs="Times New Roman"/>
          <w:color w:val="000000" w:themeColor="text1"/>
        </w:rPr>
        <w:t xml:space="preserve"> påverkar besöksnäringens förutsättningar</w:t>
      </w:r>
      <w:r w:rsidR="3B501F2E" w:rsidRPr="458B65FA">
        <w:rPr>
          <w:rFonts w:ascii="Times New Roman" w:eastAsia="Times New Roman" w:hAnsi="Times New Roman" w:cs="Times New Roman"/>
          <w:color w:val="000000" w:themeColor="text1"/>
        </w:rPr>
        <w:t xml:space="preserve"> i stor utsträckning</w:t>
      </w:r>
      <w:r w:rsidRPr="458B65FA">
        <w:rPr>
          <w:rFonts w:ascii="Times New Roman" w:eastAsia="Times New Roman" w:hAnsi="Times New Roman" w:cs="Times New Roman"/>
          <w:color w:val="000000" w:themeColor="text1"/>
        </w:rPr>
        <w:t>.</w:t>
      </w:r>
      <w:r w:rsidR="03D5128D" w:rsidRPr="458B65FA">
        <w:rPr>
          <w:rFonts w:ascii="Times New Roman" w:eastAsia="Times New Roman" w:hAnsi="Times New Roman" w:cs="Times New Roman"/>
          <w:color w:val="000000" w:themeColor="text1"/>
        </w:rPr>
        <w:t xml:space="preserve"> </w:t>
      </w:r>
      <w:r w:rsidRPr="458B65FA">
        <w:rPr>
          <w:rFonts w:ascii="Times New Roman" w:eastAsia="Times New Roman" w:hAnsi="Times New Roman" w:cs="Times New Roman"/>
          <w:color w:val="000000" w:themeColor="text1"/>
        </w:rPr>
        <w:t>Bl</w:t>
      </w:r>
      <w:r w:rsidR="2C365F34" w:rsidRPr="458B65FA">
        <w:rPr>
          <w:rFonts w:ascii="Times New Roman" w:eastAsia="Times New Roman" w:hAnsi="Times New Roman" w:cs="Times New Roman"/>
          <w:color w:val="000000" w:themeColor="text1"/>
        </w:rPr>
        <w:t>and annat</w:t>
      </w:r>
      <w:r w:rsidRPr="458B65FA">
        <w:rPr>
          <w:rFonts w:ascii="Times New Roman" w:eastAsia="Times New Roman" w:hAnsi="Times New Roman" w:cs="Times New Roman"/>
          <w:color w:val="000000" w:themeColor="text1"/>
        </w:rPr>
        <w:t xml:space="preserve"> har dessa fenomen lett till en framväxt för delningsekonomin som fått stort genomslag i besöksnäringen. Trender inom stadsutveckling får samtidigt effekt på besöksflöden i stadskärnan och </w:t>
      </w:r>
      <w:r w:rsidR="24C71DFB" w:rsidRPr="458B65FA">
        <w:rPr>
          <w:rFonts w:ascii="Times New Roman" w:eastAsia="Times New Roman" w:hAnsi="Times New Roman" w:cs="Times New Roman"/>
          <w:color w:val="000000" w:themeColor="text1"/>
        </w:rPr>
        <w:t xml:space="preserve">på </w:t>
      </w:r>
      <w:r w:rsidRPr="458B65FA">
        <w:rPr>
          <w:rFonts w:ascii="Times New Roman" w:eastAsia="Times New Roman" w:hAnsi="Times New Roman" w:cs="Times New Roman"/>
          <w:color w:val="000000" w:themeColor="text1"/>
        </w:rPr>
        <w:t>vilken potential som finns att attrahera besökare till de centrala delarna av destinationen likväl som övriga stadsdelar</w:t>
      </w:r>
      <w:r w:rsidR="5B56816C" w:rsidRPr="458B65FA">
        <w:rPr>
          <w:rFonts w:ascii="Times New Roman" w:eastAsia="Times New Roman" w:hAnsi="Times New Roman" w:cs="Times New Roman"/>
          <w:color w:val="000000" w:themeColor="text1"/>
        </w:rPr>
        <w:t xml:space="preserve"> och områden</w:t>
      </w:r>
      <w:r w:rsidRPr="458B65FA">
        <w:rPr>
          <w:rFonts w:ascii="Times New Roman" w:eastAsia="Times New Roman" w:hAnsi="Times New Roman" w:cs="Times New Roman"/>
          <w:color w:val="000000" w:themeColor="text1"/>
        </w:rPr>
        <w:t xml:space="preserve">. </w:t>
      </w:r>
    </w:p>
    <w:p w14:paraId="0A499123" w14:textId="6EAE9BB9" w:rsidR="5CF02F48" w:rsidRDefault="5CF02F48" w:rsidP="00484A33">
      <w:pPr>
        <w:spacing w:line="276" w:lineRule="auto"/>
        <w:rPr>
          <w:rFonts w:ascii="Times New Roman" w:eastAsia="Times New Roman" w:hAnsi="Times New Roman" w:cs="Times New Roman"/>
          <w:color w:val="000000" w:themeColor="text1"/>
        </w:rPr>
      </w:pPr>
      <w:r w:rsidRPr="0FB796E3">
        <w:rPr>
          <w:rFonts w:ascii="Times New Roman" w:eastAsia="Times New Roman" w:hAnsi="Times New Roman" w:cs="Times New Roman"/>
        </w:rPr>
        <w:t>Syftet med detta arbete har varit att på ett övergripande plan kartlägga besöksnäringens nuvarande</w:t>
      </w:r>
      <w:r w:rsidR="6836A640" w:rsidRPr="0FB796E3">
        <w:rPr>
          <w:rFonts w:ascii="Times New Roman" w:eastAsia="Times New Roman" w:hAnsi="Times New Roman" w:cs="Times New Roman"/>
        </w:rPr>
        <w:t xml:space="preserve"> (2021)</w:t>
      </w:r>
      <w:r w:rsidRPr="0FB796E3">
        <w:rPr>
          <w:rFonts w:ascii="Times New Roman" w:eastAsia="Times New Roman" w:hAnsi="Times New Roman" w:cs="Times New Roman"/>
        </w:rPr>
        <w:t xml:space="preserve"> och framtida utmaningar och möjligheter</w:t>
      </w:r>
      <w:r w:rsidR="00484A33">
        <w:rPr>
          <w:rFonts w:ascii="Times New Roman" w:eastAsia="Times New Roman" w:hAnsi="Times New Roman" w:cs="Times New Roman"/>
        </w:rPr>
        <w:t>.</w:t>
      </w:r>
      <w:r w:rsidR="438057D3" w:rsidRPr="0FB796E3">
        <w:rPr>
          <w:rFonts w:ascii="Times New Roman" w:eastAsia="Times New Roman" w:hAnsi="Times New Roman" w:cs="Times New Roman"/>
        </w:rPr>
        <w:t xml:space="preserve"> Analysen ska också bygga förståelse kring</w:t>
      </w:r>
      <w:r w:rsidRPr="0FB796E3">
        <w:rPr>
          <w:rFonts w:ascii="Times New Roman" w:eastAsia="Times New Roman" w:hAnsi="Times New Roman" w:cs="Times New Roman"/>
        </w:rPr>
        <w:t xml:space="preserve"> hur strukturella förändringar kan komma att påverka förutsättningarna för besöksnäringens utveckling. </w:t>
      </w:r>
      <w:r w:rsidR="6837F608" w:rsidRPr="0FB796E3">
        <w:rPr>
          <w:rFonts w:ascii="Times New Roman" w:eastAsia="Times New Roman" w:hAnsi="Times New Roman" w:cs="Times New Roman"/>
          <w:color w:val="000000" w:themeColor="text1"/>
        </w:rPr>
        <w:t>Nedan redogörs i kortfattad form för ett antal utvalda trender och fenomen samt på vilket sätt de leder till utmaningar och möjligheter för besöksnäringen på såväl destinationsnivå som för enskilda näringsidkare. Den globala</w:t>
      </w:r>
      <w:r w:rsidR="57230886" w:rsidRPr="0FB796E3">
        <w:rPr>
          <w:rFonts w:ascii="Times New Roman" w:eastAsia="Times New Roman" w:hAnsi="Times New Roman" w:cs="Times New Roman"/>
          <w:color w:val="000000" w:themeColor="text1"/>
        </w:rPr>
        <w:t xml:space="preserve"> corona</w:t>
      </w:r>
      <w:r w:rsidR="6837F608" w:rsidRPr="0FB796E3">
        <w:rPr>
          <w:rFonts w:ascii="Times New Roman" w:eastAsia="Times New Roman" w:hAnsi="Times New Roman" w:cs="Times New Roman"/>
          <w:color w:val="000000" w:themeColor="text1"/>
        </w:rPr>
        <w:t xml:space="preserve">pandemin har samtidigt förstärkt trender kända redan före år 2020 som kan antas leda till bestående förändringar i konsumentbeteenden och resmönster. Därför har en mer detaljerad kartläggning med fokus på konsumentbeteenden och dess effekter för besöksnäringens aktörer </w:t>
      </w:r>
      <w:r w:rsidR="7FAE4EA9" w:rsidRPr="0FB796E3">
        <w:rPr>
          <w:rFonts w:ascii="Times New Roman" w:eastAsia="Times New Roman" w:hAnsi="Times New Roman" w:cs="Times New Roman"/>
          <w:color w:val="000000" w:themeColor="text1"/>
        </w:rPr>
        <w:t>genomförts, varav utvalda delar presenteras</w:t>
      </w:r>
      <w:r w:rsidR="37EC9D77" w:rsidRPr="0FB796E3">
        <w:rPr>
          <w:rFonts w:ascii="Times New Roman" w:eastAsia="Times New Roman" w:hAnsi="Times New Roman" w:cs="Times New Roman"/>
          <w:color w:val="000000" w:themeColor="text1"/>
        </w:rPr>
        <w:t xml:space="preserve"> i denna </w:t>
      </w:r>
      <w:r w:rsidR="6837F608" w:rsidRPr="0FB796E3">
        <w:rPr>
          <w:rFonts w:ascii="Times New Roman" w:eastAsia="Times New Roman" w:hAnsi="Times New Roman" w:cs="Times New Roman"/>
          <w:color w:val="000000" w:themeColor="text1"/>
        </w:rPr>
        <w:t xml:space="preserve">bilaga. </w:t>
      </w:r>
    </w:p>
    <w:p w14:paraId="457207D9" w14:textId="1A56C401" w:rsidR="7F52BE66" w:rsidRDefault="78118F41" w:rsidP="00484A33">
      <w:pPr>
        <w:spacing w:line="276" w:lineRule="auto"/>
        <w:rPr>
          <w:rFonts w:ascii="Times New Roman" w:eastAsia="Times New Roman" w:hAnsi="Times New Roman" w:cs="Times New Roman"/>
          <w:color w:val="000000" w:themeColor="text1"/>
        </w:rPr>
      </w:pPr>
      <w:r w:rsidRPr="4E746557">
        <w:rPr>
          <w:rFonts w:ascii="Times New Roman" w:eastAsia="Times New Roman" w:hAnsi="Times New Roman" w:cs="Times New Roman"/>
          <w:color w:val="000000" w:themeColor="text1"/>
        </w:rPr>
        <w:t xml:space="preserve">Då detta dokument </w:t>
      </w:r>
      <w:r w:rsidR="6E930EA6" w:rsidRPr="4E746557">
        <w:rPr>
          <w:rFonts w:ascii="Times New Roman" w:eastAsia="Times New Roman" w:hAnsi="Times New Roman" w:cs="Times New Roman"/>
          <w:color w:val="000000" w:themeColor="text1"/>
        </w:rPr>
        <w:t xml:space="preserve">färdigställts </w:t>
      </w:r>
      <w:r w:rsidR="4690DB8B" w:rsidRPr="4E746557">
        <w:rPr>
          <w:rFonts w:ascii="Times New Roman" w:eastAsia="Times New Roman" w:hAnsi="Times New Roman" w:cs="Times New Roman"/>
          <w:color w:val="000000" w:themeColor="text1"/>
        </w:rPr>
        <w:t>(</w:t>
      </w:r>
      <w:r w:rsidR="6BC573FE" w:rsidRPr="4E746557">
        <w:rPr>
          <w:rFonts w:ascii="Times New Roman" w:eastAsia="Times New Roman" w:hAnsi="Times New Roman" w:cs="Times New Roman"/>
          <w:color w:val="000000" w:themeColor="text1"/>
        </w:rPr>
        <w:t xml:space="preserve">september </w:t>
      </w:r>
      <w:r w:rsidR="4690DB8B" w:rsidRPr="4E746557">
        <w:rPr>
          <w:rFonts w:ascii="Times New Roman" w:eastAsia="Times New Roman" w:hAnsi="Times New Roman" w:cs="Times New Roman"/>
          <w:color w:val="000000" w:themeColor="text1"/>
        </w:rPr>
        <w:t xml:space="preserve">2021) </w:t>
      </w:r>
      <w:r w:rsidRPr="4E746557">
        <w:rPr>
          <w:rFonts w:ascii="Times New Roman" w:eastAsia="Times New Roman" w:hAnsi="Times New Roman" w:cs="Times New Roman"/>
          <w:color w:val="000000" w:themeColor="text1"/>
        </w:rPr>
        <w:t>befinner sig</w:t>
      </w:r>
      <w:r w:rsidR="3F759E17" w:rsidRPr="4E746557">
        <w:rPr>
          <w:rFonts w:ascii="Times New Roman" w:eastAsia="Times New Roman" w:hAnsi="Times New Roman" w:cs="Times New Roman"/>
          <w:color w:val="000000" w:themeColor="text1"/>
        </w:rPr>
        <w:t xml:space="preserve"> Sverige</w:t>
      </w:r>
      <w:r w:rsidRPr="4E746557">
        <w:rPr>
          <w:rFonts w:ascii="Times New Roman" w:eastAsia="Times New Roman" w:hAnsi="Times New Roman" w:cs="Times New Roman"/>
          <w:color w:val="000000" w:themeColor="text1"/>
        </w:rPr>
        <w:t xml:space="preserve"> i vad som </w:t>
      </w:r>
      <w:r w:rsidR="23864236" w:rsidRPr="4E746557">
        <w:rPr>
          <w:rFonts w:ascii="Times New Roman" w:eastAsia="Times New Roman" w:hAnsi="Times New Roman" w:cs="Times New Roman"/>
          <w:color w:val="000000" w:themeColor="text1"/>
        </w:rPr>
        <w:t xml:space="preserve">tycks vara slutet av den mest akuta fasen av pandemin. Majoriteten av den svenska befolkningen är </w:t>
      </w:r>
      <w:r w:rsidR="17DEB735" w:rsidRPr="4E746557">
        <w:rPr>
          <w:rFonts w:ascii="Times New Roman" w:eastAsia="Times New Roman" w:hAnsi="Times New Roman" w:cs="Times New Roman"/>
          <w:color w:val="000000" w:themeColor="text1"/>
        </w:rPr>
        <w:t>full</w:t>
      </w:r>
      <w:r w:rsidR="23864236" w:rsidRPr="4E746557">
        <w:rPr>
          <w:rFonts w:ascii="Times New Roman" w:eastAsia="Times New Roman" w:hAnsi="Times New Roman" w:cs="Times New Roman"/>
          <w:color w:val="000000" w:themeColor="text1"/>
        </w:rPr>
        <w:t>vaccinerad</w:t>
      </w:r>
      <w:r w:rsidR="5CECFDED" w:rsidRPr="4E746557">
        <w:rPr>
          <w:rFonts w:ascii="Times New Roman" w:eastAsia="Times New Roman" w:hAnsi="Times New Roman" w:cs="Times New Roman"/>
          <w:color w:val="000000" w:themeColor="text1"/>
        </w:rPr>
        <w:t>e</w:t>
      </w:r>
      <w:r w:rsidR="707FC81A" w:rsidRPr="4E746557">
        <w:rPr>
          <w:rFonts w:ascii="Times New Roman" w:eastAsia="Times New Roman" w:hAnsi="Times New Roman" w:cs="Times New Roman"/>
          <w:color w:val="000000" w:themeColor="text1"/>
        </w:rPr>
        <w:t xml:space="preserve"> </w:t>
      </w:r>
      <w:r w:rsidR="23864236" w:rsidRPr="4E746557">
        <w:rPr>
          <w:rFonts w:ascii="Times New Roman" w:eastAsia="Times New Roman" w:hAnsi="Times New Roman" w:cs="Times New Roman"/>
          <w:color w:val="000000" w:themeColor="text1"/>
        </w:rPr>
        <w:t xml:space="preserve">och </w:t>
      </w:r>
      <w:r w:rsidR="403EADCC" w:rsidRPr="4E746557">
        <w:rPr>
          <w:rFonts w:ascii="Times New Roman" w:eastAsia="Times New Roman" w:hAnsi="Times New Roman" w:cs="Times New Roman"/>
          <w:color w:val="000000" w:themeColor="text1"/>
        </w:rPr>
        <w:t>samhället har börjat öppna upp i takt med att smittspridningen minska</w:t>
      </w:r>
      <w:r w:rsidR="1CC480B5" w:rsidRPr="4E746557">
        <w:rPr>
          <w:rFonts w:ascii="Times New Roman" w:eastAsia="Times New Roman" w:hAnsi="Times New Roman" w:cs="Times New Roman"/>
          <w:color w:val="000000" w:themeColor="text1"/>
        </w:rPr>
        <w:t>t</w:t>
      </w:r>
      <w:r w:rsidR="403EADCC" w:rsidRPr="4E746557">
        <w:rPr>
          <w:rFonts w:ascii="Times New Roman" w:eastAsia="Times New Roman" w:hAnsi="Times New Roman" w:cs="Times New Roman"/>
          <w:color w:val="000000" w:themeColor="text1"/>
        </w:rPr>
        <w:t xml:space="preserve">. </w:t>
      </w:r>
      <w:r w:rsidR="014BE1F1" w:rsidRPr="4E746557">
        <w:rPr>
          <w:rFonts w:ascii="Times New Roman" w:eastAsia="Times New Roman" w:hAnsi="Times New Roman" w:cs="Times New Roman"/>
          <w:color w:val="000000" w:themeColor="text1"/>
        </w:rPr>
        <w:t>Besöksnäringen har sakta men säkert börjat återhämta sig och i juli månad 2021</w:t>
      </w:r>
      <w:r w:rsidR="14221AF4" w:rsidRPr="4E746557">
        <w:rPr>
          <w:rFonts w:ascii="Times New Roman" w:eastAsia="Times New Roman" w:hAnsi="Times New Roman" w:cs="Times New Roman"/>
          <w:color w:val="000000" w:themeColor="text1"/>
        </w:rPr>
        <w:t xml:space="preserve"> uppgick </w:t>
      </w:r>
      <w:r w:rsidR="722AE73D" w:rsidRPr="4E746557">
        <w:rPr>
          <w:rFonts w:ascii="Times New Roman" w:eastAsia="Times New Roman" w:hAnsi="Times New Roman" w:cs="Times New Roman"/>
          <w:color w:val="000000" w:themeColor="text1"/>
        </w:rPr>
        <w:t>andelen gästnätter</w:t>
      </w:r>
      <w:r w:rsidR="2EE3770B" w:rsidRPr="4E746557">
        <w:rPr>
          <w:rFonts w:ascii="Times New Roman" w:eastAsia="Times New Roman" w:hAnsi="Times New Roman" w:cs="Times New Roman"/>
          <w:color w:val="000000" w:themeColor="text1"/>
        </w:rPr>
        <w:t xml:space="preserve"> på kommersiella boendeanläggningar</w:t>
      </w:r>
      <w:r w:rsidR="722AE73D" w:rsidRPr="4E746557">
        <w:rPr>
          <w:rFonts w:ascii="Times New Roman" w:eastAsia="Times New Roman" w:hAnsi="Times New Roman" w:cs="Times New Roman"/>
          <w:color w:val="000000" w:themeColor="text1"/>
        </w:rPr>
        <w:t xml:space="preserve"> i Göteborgsregionen till </w:t>
      </w:r>
      <w:r w:rsidR="0E6F61DC" w:rsidRPr="4E746557">
        <w:rPr>
          <w:rFonts w:ascii="Times New Roman" w:eastAsia="Times New Roman" w:hAnsi="Times New Roman" w:cs="Times New Roman"/>
          <w:color w:val="000000" w:themeColor="text1"/>
        </w:rPr>
        <w:t xml:space="preserve">cirka </w:t>
      </w:r>
      <w:r w:rsidR="722AE73D" w:rsidRPr="4E746557">
        <w:rPr>
          <w:rFonts w:ascii="Times New Roman" w:eastAsia="Times New Roman" w:hAnsi="Times New Roman" w:cs="Times New Roman"/>
          <w:color w:val="000000" w:themeColor="text1"/>
        </w:rPr>
        <w:t>85% av 2019 års nivåer</w:t>
      </w:r>
      <w:r w:rsidR="1A1AC511" w:rsidRPr="4E746557">
        <w:rPr>
          <w:rFonts w:ascii="Times New Roman" w:eastAsia="Times New Roman" w:hAnsi="Times New Roman" w:cs="Times New Roman"/>
          <w:color w:val="000000" w:themeColor="text1"/>
        </w:rPr>
        <w:t xml:space="preserve"> under samma månad</w:t>
      </w:r>
      <w:r w:rsidR="722AE73D" w:rsidRPr="4E746557">
        <w:rPr>
          <w:rFonts w:ascii="Times New Roman" w:eastAsia="Times New Roman" w:hAnsi="Times New Roman" w:cs="Times New Roman"/>
          <w:color w:val="000000" w:themeColor="text1"/>
        </w:rPr>
        <w:t xml:space="preserve">. </w:t>
      </w:r>
      <w:r w:rsidR="3261342B" w:rsidRPr="4E746557">
        <w:rPr>
          <w:rFonts w:ascii="Times New Roman" w:eastAsia="Times New Roman" w:hAnsi="Times New Roman" w:cs="Times New Roman"/>
          <w:color w:val="000000" w:themeColor="text1"/>
        </w:rPr>
        <w:t>Besöksvolymerna</w:t>
      </w:r>
      <w:r w:rsidR="722AE73D" w:rsidRPr="4E746557">
        <w:rPr>
          <w:rFonts w:ascii="Times New Roman" w:eastAsia="Times New Roman" w:hAnsi="Times New Roman" w:cs="Times New Roman"/>
          <w:color w:val="000000" w:themeColor="text1"/>
        </w:rPr>
        <w:t xml:space="preserve"> består till stor del av svenska besökare </w:t>
      </w:r>
      <w:r w:rsidR="468781B5" w:rsidRPr="4E746557">
        <w:rPr>
          <w:rFonts w:ascii="Times New Roman" w:eastAsia="Times New Roman" w:hAnsi="Times New Roman" w:cs="Times New Roman"/>
          <w:color w:val="000000" w:themeColor="text1"/>
        </w:rPr>
        <w:t xml:space="preserve">som </w:t>
      </w:r>
      <w:r w:rsidR="722AE73D" w:rsidRPr="4E746557">
        <w:rPr>
          <w:rFonts w:ascii="Times New Roman" w:eastAsia="Times New Roman" w:hAnsi="Times New Roman" w:cs="Times New Roman"/>
          <w:color w:val="000000" w:themeColor="text1"/>
        </w:rPr>
        <w:t>reser inom l</w:t>
      </w:r>
      <w:r w:rsidR="6033A36E" w:rsidRPr="4E746557">
        <w:rPr>
          <w:rFonts w:ascii="Times New Roman" w:eastAsia="Times New Roman" w:hAnsi="Times New Roman" w:cs="Times New Roman"/>
          <w:color w:val="000000" w:themeColor="text1"/>
        </w:rPr>
        <w:t>a</w:t>
      </w:r>
      <w:r w:rsidR="722AE73D" w:rsidRPr="4E746557">
        <w:rPr>
          <w:rFonts w:ascii="Times New Roman" w:eastAsia="Times New Roman" w:hAnsi="Times New Roman" w:cs="Times New Roman"/>
          <w:color w:val="000000" w:themeColor="text1"/>
        </w:rPr>
        <w:t xml:space="preserve">ndets gränser. </w:t>
      </w:r>
      <w:r w:rsidR="014BE1F1" w:rsidRPr="4E746557">
        <w:rPr>
          <w:rFonts w:ascii="Times New Roman" w:eastAsia="Times New Roman" w:hAnsi="Times New Roman" w:cs="Times New Roman"/>
          <w:color w:val="000000" w:themeColor="text1"/>
        </w:rPr>
        <w:t xml:space="preserve">Återhämtningstakten </w:t>
      </w:r>
      <w:r w:rsidR="205A0996" w:rsidRPr="4E746557">
        <w:rPr>
          <w:rFonts w:ascii="Times New Roman" w:eastAsia="Times New Roman" w:hAnsi="Times New Roman" w:cs="Times New Roman"/>
          <w:color w:val="000000" w:themeColor="text1"/>
        </w:rPr>
        <w:t>är än så länge betydligt långsammare</w:t>
      </w:r>
      <w:r w:rsidR="014BE1F1" w:rsidRPr="4E746557">
        <w:rPr>
          <w:rFonts w:ascii="Times New Roman" w:eastAsia="Times New Roman" w:hAnsi="Times New Roman" w:cs="Times New Roman"/>
          <w:color w:val="000000" w:themeColor="text1"/>
        </w:rPr>
        <w:t xml:space="preserve"> för internationella besökare</w:t>
      </w:r>
      <w:r w:rsidR="4A01038E" w:rsidRPr="4E746557">
        <w:rPr>
          <w:rFonts w:ascii="Times New Roman" w:eastAsia="Times New Roman" w:hAnsi="Times New Roman" w:cs="Times New Roman"/>
          <w:color w:val="000000" w:themeColor="text1"/>
        </w:rPr>
        <w:t>. Även affärsresandet, som stod för en betydande andel av gästnattsvolymen på helårsbasis före pandemin,</w:t>
      </w:r>
      <w:r w:rsidR="78034F6A" w:rsidRPr="4E746557">
        <w:rPr>
          <w:rFonts w:ascii="Times New Roman" w:eastAsia="Times New Roman" w:hAnsi="Times New Roman" w:cs="Times New Roman"/>
          <w:color w:val="000000" w:themeColor="text1"/>
        </w:rPr>
        <w:t xml:space="preserve"> har en lång väg kvar till tidigare nivåer. </w:t>
      </w:r>
    </w:p>
    <w:p w14:paraId="0067DD45" w14:textId="25706C91" w:rsidR="3AED47EF" w:rsidRDefault="3AED47EF" w:rsidP="00484A33">
      <w:pPr>
        <w:spacing w:line="276" w:lineRule="auto"/>
        <w:rPr>
          <w:rFonts w:ascii="Times New Roman" w:eastAsia="Times New Roman" w:hAnsi="Times New Roman" w:cs="Times New Roman"/>
          <w:color w:val="000000" w:themeColor="text1"/>
        </w:rPr>
      </w:pPr>
      <w:r w:rsidRPr="56140E0D">
        <w:rPr>
          <w:rFonts w:ascii="Times New Roman" w:eastAsia="Times New Roman" w:hAnsi="Times New Roman" w:cs="Times New Roman"/>
          <w:color w:val="000000" w:themeColor="text1"/>
        </w:rPr>
        <w:t>Nedan sammanställning av omvärldsanalysen bör läsas med hänsyn tagen till att det fortfarande råder stor osäkerhet kring återhämtningen</w:t>
      </w:r>
      <w:r w:rsidR="5B7578B7" w:rsidRPr="56140E0D">
        <w:rPr>
          <w:rFonts w:ascii="Times New Roman" w:eastAsia="Times New Roman" w:hAnsi="Times New Roman" w:cs="Times New Roman"/>
          <w:color w:val="000000" w:themeColor="text1"/>
        </w:rPr>
        <w:t xml:space="preserve"> samt en medvetenhet om att förutsättningarna snabbt kan förändras. </w:t>
      </w:r>
      <w:r w:rsidR="5A46632F" w:rsidRPr="56140E0D">
        <w:rPr>
          <w:rFonts w:ascii="Times New Roman" w:eastAsia="Times New Roman" w:hAnsi="Times New Roman" w:cs="Times New Roman"/>
          <w:color w:val="000000" w:themeColor="text1"/>
        </w:rPr>
        <w:t>Det gäller s</w:t>
      </w:r>
      <w:r w:rsidR="2E249B7B" w:rsidRPr="56140E0D">
        <w:rPr>
          <w:rFonts w:ascii="Times New Roman" w:eastAsia="Times New Roman" w:hAnsi="Times New Roman" w:cs="Times New Roman"/>
          <w:color w:val="000000" w:themeColor="text1"/>
        </w:rPr>
        <w:t xml:space="preserve">peciellt </w:t>
      </w:r>
      <w:r w:rsidR="5A46632F" w:rsidRPr="56140E0D">
        <w:rPr>
          <w:rFonts w:ascii="Times New Roman" w:eastAsia="Times New Roman" w:hAnsi="Times New Roman" w:cs="Times New Roman"/>
          <w:color w:val="000000" w:themeColor="text1"/>
        </w:rPr>
        <w:t>återhämtningstakten för affärsresandet, flygtillgängligheten</w:t>
      </w:r>
      <w:r w:rsidR="7595BE76" w:rsidRPr="56140E0D">
        <w:rPr>
          <w:rFonts w:ascii="Times New Roman" w:eastAsia="Times New Roman" w:hAnsi="Times New Roman" w:cs="Times New Roman"/>
          <w:color w:val="000000" w:themeColor="text1"/>
        </w:rPr>
        <w:t xml:space="preserve"> och det </w:t>
      </w:r>
      <w:r w:rsidR="104B7E24" w:rsidRPr="56140E0D">
        <w:rPr>
          <w:rFonts w:ascii="Times New Roman" w:eastAsia="Times New Roman" w:hAnsi="Times New Roman" w:cs="Times New Roman"/>
          <w:color w:val="000000" w:themeColor="text1"/>
        </w:rPr>
        <w:t>internationell</w:t>
      </w:r>
      <w:r w:rsidR="268BD08D" w:rsidRPr="56140E0D">
        <w:rPr>
          <w:rFonts w:ascii="Times New Roman" w:eastAsia="Times New Roman" w:hAnsi="Times New Roman" w:cs="Times New Roman"/>
          <w:color w:val="000000" w:themeColor="text1"/>
        </w:rPr>
        <w:t>a</w:t>
      </w:r>
      <w:r w:rsidR="104B7E24" w:rsidRPr="56140E0D">
        <w:rPr>
          <w:rFonts w:ascii="Times New Roman" w:eastAsia="Times New Roman" w:hAnsi="Times New Roman" w:cs="Times New Roman"/>
          <w:color w:val="000000" w:themeColor="text1"/>
        </w:rPr>
        <w:t xml:space="preserve"> resan</w:t>
      </w:r>
      <w:r w:rsidR="2613444F" w:rsidRPr="56140E0D">
        <w:rPr>
          <w:rFonts w:ascii="Times New Roman" w:eastAsia="Times New Roman" w:hAnsi="Times New Roman" w:cs="Times New Roman"/>
          <w:color w:val="000000" w:themeColor="text1"/>
        </w:rPr>
        <w:t>det såväl till som från Sverige</w:t>
      </w:r>
      <w:r w:rsidR="104B7E24" w:rsidRPr="56140E0D">
        <w:rPr>
          <w:rFonts w:ascii="Times New Roman" w:eastAsia="Times New Roman" w:hAnsi="Times New Roman" w:cs="Times New Roman"/>
          <w:color w:val="000000" w:themeColor="text1"/>
        </w:rPr>
        <w:t xml:space="preserve">. </w:t>
      </w:r>
    </w:p>
    <w:p w14:paraId="5AC43376" w14:textId="08074D37" w:rsidR="091EA154" w:rsidRDefault="091EA154" w:rsidP="00484A33">
      <w:pPr>
        <w:spacing w:line="276" w:lineRule="auto"/>
        <w:rPr>
          <w:rFonts w:ascii="Times New Roman" w:eastAsia="Times New Roman" w:hAnsi="Times New Roman" w:cs="Times New Roman"/>
          <w:color w:val="000000" w:themeColor="text1"/>
        </w:rPr>
      </w:pPr>
      <w:r w:rsidRPr="00364CE3">
        <w:rPr>
          <w:rFonts w:ascii="Times New Roman" w:hAnsi="Times New Roman" w:cs="Times New Roman"/>
          <w:b/>
          <w:bCs/>
        </w:rPr>
        <w:t>Digitalisering</w:t>
      </w:r>
      <w:r>
        <w:br/>
      </w:r>
      <w:r w:rsidRPr="7D0353C0">
        <w:rPr>
          <w:rFonts w:ascii="Times New Roman" w:eastAsia="Times New Roman" w:hAnsi="Times New Roman" w:cs="Times New Roman"/>
          <w:color w:val="000000" w:themeColor="text1"/>
        </w:rPr>
        <w:t>Digitala bokningsplattformar</w:t>
      </w:r>
      <w:r w:rsidR="503F101E" w:rsidRPr="7D0353C0">
        <w:rPr>
          <w:rFonts w:ascii="Times New Roman" w:eastAsia="Times New Roman" w:hAnsi="Times New Roman" w:cs="Times New Roman"/>
          <w:color w:val="000000" w:themeColor="text1"/>
        </w:rPr>
        <w:t xml:space="preserve"> </w:t>
      </w:r>
      <w:r w:rsidRPr="7D0353C0">
        <w:rPr>
          <w:rFonts w:ascii="Times New Roman" w:eastAsia="Times New Roman" w:hAnsi="Times New Roman" w:cs="Times New Roman"/>
          <w:color w:val="000000" w:themeColor="text1"/>
        </w:rPr>
        <w:t xml:space="preserve">fick tidigt genomslag i besöksnäringen. Numera är de flesta konsumenter vana vid att själva boka </w:t>
      </w:r>
      <w:r w:rsidR="005F2DB0" w:rsidRPr="7D0353C0">
        <w:rPr>
          <w:rFonts w:ascii="Times New Roman" w:eastAsia="Times New Roman" w:hAnsi="Times New Roman" w:cs="Times New Roman"/>
          <w:color w:val="000000" w:themeColor="text1"/>
        </w:rPr>
        <w:t>bland annat</w:t>
      </w:r>
      <w:r w:rsidRPr="7D0353C0">
        <w:rPr>
          <w:rFonts w:ascii="Times New Roman" w:eastAsia="Times New Roman" w:hAnsi="Times New Roman" w:cs="Times New Roman"/>
          <w:color w:val="000000" w:themeColor="text1"/>
        </w:rPr>
        <w:t xml:space="preserve"> flygresor, hotellövernattningar och teaterupplevelser digitalt. Faktum är att allt större del av vår interaktion med andra människor och företag numera sker i digitala kanaler. Det </w:t>
      </w:r>
      <w:r w:rsidR="0BB7C6AB" w:rsidRPr="7D0353C0">
        <w:rPr>
          <w:rFonts w:ascii="Times New Roman" w:eastAsia="Times New Roman" w:hAnsi="Times New Roman" w:cs="Times New Roman"/>
          <w:color w:val="000000" w:themeColor="text1"/>
        </w:rPr>
        <w:t xml:space="preserve">noterades även en tydlig ökning </w:t>
      </w:r>
      <w:r w:rsidR="78484140" w:rsidRPr="7D0353C0">
        <w:rPr>
          <w:rFonts w:ascii="Times New Roman" w:eastAsia="Times New Roman" w:hAnsi="Times New Roman" w:cs="Times New Roman"/>
          <w:color w:val="000000" w:themeColor="text1"/>
        </w:rPr>
        <w:t xml:space="preserve">då </w:t>
      </w:r>
      <w:r w:rsidR="3DD58357" w:rsidRPr="7D0353C0">
        <w:rPr>
          <w:rFonts w:ascii="Times New Roman" w:eastAsia="Times New Roman" w:hAnsi="Times New Roman" w:cs="Times New Roman"/>
          <w:color w:val="000000" w:themeColor="text1"/>
        </w:rPr>
        <w:t>det</w:t>
      </w:r>
      <w:r w:rsidR="5C755D35" w:rsidRPr="7D0353C0">
        <w:rPr>
          <w:rFonts w:ascii="Times New Roman" w:eastAsia="Times New Roman" w:hAnsi="Times New Roman" w:cs="Times New Roman"/>
          <w:color w:val="000000" w:themeColor="text1"/>
        </w:rPr>
        <w:t xml:space="preserve"> under </w:t>
      </w:r>
      <w:r w:rsidR="4EBCF665" w:rsidRPr="7D0353C0">
        <w:rPr>
          <w:rFonts w:ascii="Times New Roman" w:eastAsia="Times New Roman" w:hAnsi="Times New Roman" w:cs="Times New Roman"/>
          <w:color w:val="000000" w:themeColor="text1"/>
        </w:rPr>
        <w:t>corona</w:t>
      </w:r>
      <w:r w:rsidRPr="7D0353C0">
        <w:rPr>
          <w:rFonts w:ascii="Times New Roman" w:eastAsia="Times New Roman" w:hAnsi="Times New Roman" w:cs="Times New Roman"/>
          <w:color w:val="000000" w:themeColor="text1"/>
        </w:rPr>
        <w:t>pandemin</w:t>
      </w:r>
      <w:r w:rsidR="65800D76" w:rsidRPr="7D0353C0">
        <w:rPr>
          <w:rFonts w:ascii="Times New Roman" w:eastAsia="Times New Roman" w:hAnsi="Times New Roman" w:cs="Times New Roman"/>
          <w:color w:val="000000" w:themeColor="text1"/>
        </w:rPr>
        <w:t xml:space="preserve"> uppmanade</w:t>
      </w:r>
      <w:r w:rsidR="4D22A99B" w:rsidRPr="7D0353C0">
        <w:rPr>
          <w:rFonts w:ascii="Times New Roman" w:eastAsia="Times New Roman" w:hAnsi="Times New Roman" w:cs="Times New Roman"/>
          <w:color w:val="000000" w:themeColor="text1"/>
        </w:rPr>
        <w:t>s</w:t>
      </w:r>
      <w:r w:rsidR="65800D76" w:rsidRPr="7D0353C0">
        <w:rPr>
          <w:rFonts w:ascii="Times New Roman" w:eastAsia="Times New Roman" w:hAnsi="Times New Roman" w:cs="Times New Roman"/>
          <w:color w:val="000000" w:themeColor="text1"/>
        </w:rPr>
        <w:t xml:space="preserve"> till social</w:t>
      </w:r>
      <w:r w:rsidR="5408A464" w:rsidRPr="7D0353C0">
        <w:rPr>
          <w:rFonts w:ascii="Times New Roman" w:eastAsia="Times New Roman" w:hAnsi="Times New Roman" w:cs="Times New Roman"/>
          <w:color w:val="000000" w:themeColor="text1"/>
        </w:rPr>
        <w:t xml:space="preserve"> distansering</w:t>
      </w:r>
      <w:r w:rsidRPr="7D0353C0">
        <w:rPr>
          <w:rFonts w:ascii="Times New Roman" w:eastAsia="Times New Roman" w:hAnsi="Times New Roman" w:cs="Times New Roman"/>
          <w:color w:val="000000" w:themeColor="text1"/>
        </w:rPr>
        <w:t xml:space="preserve">. Utöver den dialog som dagligen sker med vänner och bekanta i sociala medier och de arbetsmöten som hålls på digitala mötesplattformar är det även många upplevelser som </w:t>
      </w:r>
      <w:r w:rsidR="1C21FD4D" w:rsidRPr="7D0353C0">
        <w:rPr>
          <w:rFonts w:ascii="Times New Roman" w:eastAsia="Times New Roman" w:hAnsi="Times New Roman" w:cs="Times New Roman"/>
          <w:color w:val="000000" w:themeColor="text1"/>
        </w:rPr>
        <w:t xml:space="preserve">setts </w:t>
      </w:r>
      <w:r w:rsidRPr="7D0353C0">
        <w:rPr>
          <w:rFonts w:ascii="Times New Roman" w:eastAsia="Times New Roman" w:hAnsi="Times New Roman" w:cs="Times New Roman"/>
          <w:color w:val="000000" w:themeColor="text1"/>
        </w:rPr>
        <w:t xml:space="preserve">flytta över till digitala kanaler. Det kan handla om släktens påskfirande eller världsartister som håller konserter i form av digitala avatarer i spelmiljöer online. Ofta sker dessutom dialoger med företags kundtjänst via chatbotar, helt utan mänsklig kontakt. </w:t>
      </w:r>
    </w:p>
    <w:p w14:paraId="0338340D" w14:textId="7EC8834D" w:rsidR="091EA154" w:rsidRDefault="091EA154" w:rsidP="00484A33">
      <w:pPr>
        <w:spacing w:line="276" w:lineRule="auto"/>
        <w:rPr>
          <w:rFonts w:ascii="Times New Roman" w:eastAsia="Times New Roman" w:hAnsi="Times New Roman" w:cs="Times New Roman"/>
          <w:color w:val="000000" w:themeColor="text1"/>
        </w:rPr>
      </w:pPr>
      <w:r w:rsidRPr="1E318009">
        <w:rPr>
          <w:rFonts w:ascii="Times New Roman" w:eastAsia="Times New Roman" w:hAnsi="Times New Roman" w:cs="Times New Roman"/>
          <w:color w:val="000000" w:themeColor="text1"/>
        </w:rPr>
        <w:lastRenderedPageBreak/>
        <w:t>I besöksnäringen påverkar digitaliseringen konsumenters förväntningar på digital närvaro under alla steg i kundresan</w:t>
      </w:r>
      <w:r w:rsidR="197A0367" w:rsidRPr="1E318009">
        <w:rPr>
          <w:rFonts w:ascii="Times New Roman" w:eastAsia="Times New Roman" w:hAnsi="Times New Roman" w:cs="Times New Roman"/>
          <w:color w:val="000000" w:themeColor="text1"/>
        </w:rPr>
        <w:t>. F</w:t>
      </w:r>
      <w:r w:rsidRPr="1E318009">
        <w:rPr>
          <w:rFonts w:ascii="Times New Roman" w:eastAsia="Times New Roman" w:hAnsi="Times New Roman" w:cs="Times New Roman"/>
          <w:color w:val="000000" w:themeColor="text1"/>
        </w:rPr>
        <w:t>rån bokning till realtidsinfo om köer på besöksmål eller lediga parkeringsplatser</w:t>
      </w:r>
      <w:r w:rsidR="34D9CF93" w:rsidRPr="1E318009">
        <w:rPr>
          <w:rFonts w:ascii="Times New Roman" w:eastAsia="Times New Roman" w:hAnsi="Times New Roman" w:cs="Times New Roman"/>
          <w:color w:val="000000" w:themeColor="text1"/>
        </w:rPr>
        <w:t xml:space="preserve"> samt aktuell information dygnet runt, såsom tips på väderanpassade aktiviteter eller pågående evenemang</w:t>
      </w:r>
      <w:r w:rsidRPr="1E318009">
        <w:rPr>
          <w:rFonts w:ascii="Times New Roman" w:eastAsia="Times New Roman" w:hAnsi="Times New Roman" w:cs="Times New Roman"/>
          <w:color w:val="000000" w:themeColor="text1"/>
        </w:rPr>
        <w:t>.</w:t>
      </w:r>
      <w:r w:rsidR="5CF8E5F9" w:rsidRPr="1E318009">
        <w:rPr>
          <w:rFonts w:ascii="Times New Roman" w:eastAsia="Times New Roman" w:hAnsi="Times New Roman" w:cs="Times New Roman"/>
          <w:color w:val="000000" w:themeColor="text1"/>
        </w:rPr>
        <w:t xml:space="preserve"> </w:t>
      </w:r>
      <w:r w:rsidR="62E27A99" w:rsidRPr="1E318009">
        <w:rPr>
          <w:rFonts w:ascii="Times New Roman" w:eastAsia="Times New Roman" w:hAnsi="Times New Roman" w:cs="Times New Roman"/>
          <w:color w:val="000000" w:themeColor="text1"/>
        </w:rPr>
        <w:t>A</w:t>
      </w:r>
      <w:r w:rsidR="5CF8E5F9" w:rsidRPr="1E318009">
        <w:rPr>
          <w:rFonts w:ascii="Times New Roman" w:eastAsia="Times New Roman" w:hAnsi="Times New Roman" w:cs="Times New Roman"/>
          <w:color w:val="000000" w:themeColor="text1"/>
        </w:rPr>
        <w:t>llt fler hotell</w:t>
      </w:r>
      <w:r w:rsidR="6EFA1CA1" w:rsidRPr="1E318009">
        <w:rPr>
          <w:rFonts w:ascii="Times New Roman" w:eastAsia="Times New Roman" w:hAnsi="Times New Roman" w:cs="Times New Roman"/>
          <w:color w:val="000000" w:themeColor="text1"/>
        </w:rPr>
        <w:t xml:space="preserve"> har börjat</w:t>
      </w:r>
      <w:r w:rsidR="5CF8E5F9" w:rsidRPr="1E318009">
        <w:rPr>
          <w:rFonts w:ascii="Times New Roman" w:eastAsia="Times New Roman" w:hAnsi="Times New Roman" w:cs="Times New Roman"/>
          <w:color w:val="000000" w:themeColor="text1"/>
        </w:rPr>
        <w:t xml:space="preserve"> erbjud</w:t>
      </w:r>
      <w:r w:rsidR="618AB65B" w:rsidRPr="1E318009">
        <w:rPr>
          <w:rFonts w:ascii="Times New Roman" w:eastAsia="Times New Roman" w:hAnsi="Times New Roman" w:cs="Times New Roman"/>
          <w:color w:val="000000" w:themeColor="text1"/>
        </w:rPr>
        <w:t>a</w:t>
      </w:r>
      <w:r w:rsidR="5CF8E5F9" w:rsidRPr="1E318009">
        <w:rPr>
          <w:rFonts w:ascii="Times New Roman" w:eastAsia="Times New Roman" w:hAnsi="Times New Roman" w:cs="Times New Roman"/>
          <w:color w:val="000000" w:themeColor="text1"/>
        </w:rPr>
        <w:t xml:space="preserve"> digital incheckning och ett stort antal restauranger har tillgängliggjort sina menyer digitalt</w:t>
      </w:r>
      <w:r w:rsidR="498CB966" w:rsidRPr="1E318009">
        <w:rPr>
          <w:rFonts w:ascii="Times New Roman" w:eastAsia="Times New Roman" w:hAnsi="Times New Roman" w:cs="Times New Roman"/>
          <w:color w:val="000000" w:themeColor="text1"/>
        </w:rPr>
        <w:t xml:space="preserve"> för beställning online, såväl på plats i restaurangens lokaler som på distans</w:t>
      </w:r>
      <w:r w:rsidR="5CF8E5F9" w:rsidRPr="1E318009">
        <w:rPr>
          <w:rFonts w:ascii="Times New Roman" w:eastAsia="Times New Roman" w:hAnsi="Times New Roman" w:cs="Times New Roman"/>
          <w:color w:val="000000" w:themeColor="text1"/>
        </w:rPr>
        <w:t xml:space="preserve">. </w:t>
      </w:r>
      <w:r w:rsidR="050734EF" w:rsidRPr="1E318009">
        <w:rPr>
          <w:rFonts w:ascii="Times New Roman" w:eastAsia="Times New Roman" w:hAnsi="Times New Roman" w:cs="Times New Roman"/>
          <w:color w:val="000000" w:themeColor="text1"/>
        </w:rPr>
        <w:t xml:space="preserve">Konsumenternas ökade förväntningar ställer högre krav på näringens aktörer att tillgodose servicebehovet i olika steg av kundresan med hjälp av digitala verktyg. Detta förutsätter i många fall nya samarbetspartners med kunskap och erfarenhet av digitala tjänster, vilket i sin tur innebär ökade kostnader i utvecklande eller inköp av system. Men det kan även leda till minskat behov av servicepersonal, vilket </w:t>
      </w:r>
      <w:r w:rsidR="7ACB1A5A" w:rsidRPr="1E318009">
        <w:rPr>
          <w:rFonts w:ascii="Times New Roman" w:eastAsia="Times New Roman" w:hAnsi="Times New Roman" w:cs="Times New Roman"/>
          <w:color w:val="000000" w:themeColor="text1"/>
        </w:rPr>
        <w:t xml:space="preserve">kan </w:t>
      </w:r>
      <w:r w:rsidR="050734EF" w:rsidRPr="1E318009">
        <w:rPr>
          <w:rFonts w:ascii="Times New Roman" w:eastAsia="Times New Roman" w:hAnsi="Times New Roman" w:cs="Times New Roman"/>
          <w:color w:val="000000" w:themeColor="text1"/>
        </w:rPr>
        <w:t>innebär</w:t>
      </w:r>
      <w:r w:rsidR="310EAEE1" w:rsidRPr="1E318009">
        <w:rPr>
          <w:rFonts w:ascii="Times New Roman" w:eastAsia="Times New Roman" w:hAnsi="Times New Roman" w:cs="Times New Roman"/>
          <w:color w:val="000000" w:themeColor="text1"/>
        </w:rPr>
        <w:t>a</w:t>
      </w:r>
      <w:r w:rsidR="050734EF" w:rsidRPr="1E318009">
        <w:rPr>
          <w:rFonts w:ascii="Times New Roman" w:eastAsia="Times New Roman" w:hAnsi="Times New Roman" w:cs="Times New Roman"/>
          <w:color w:val="000000" w:themeColor="text1"/>
        </w:rPr>
        <w:t xml:space="preserve"> kostnadsbesparingar som kan påverka lönsamheten för näringens aktörer positivt.</w:t>
      </w:r>
    </w:p>
    <w:p w14:paraId="0A7DF84B" w14:textId="41E10C69" w:rsidR="74055342" w:rsidRDefault="41B9D55F" w:rsidP="00484A33">
      <w:pPr>
        <w:spacing w:line="276" w:lineRule="auto"/>
        <w:rPr>
          <w:rFonts w:ascii="Times New Roman" w:eastAsia="Times New Roman" w:hAnsi="Times New Roman" w:cs="Times New Roman"/>
          <w:color w:val="000000" w:themeColor="text1"/>
          <w:highlight w:val="yellow"/>
        </w:rPr>
      </w:pPr>
      <w:r w:rsidRPr="4E746557">
        <w:rPr>
          <w:rFonts w:ascii="Times New Roman" w:eastAsia="Times New Roman" w:hAnsi="Times New Roman" w:cs="Times New Roman"/>
          <w:color w:val="000000" w:themeColor="text1"/>
        </w:rPr>
        <w:t xml:space="preserve">Att ta del av upplevelser och innehåll på distans via digitala kanaler har blivit en del av vardagen för många. </w:t>
      </w:r>
      <w:r w:rsidR="7EC1D682" w:rsidRPr="4E746557">
        <w:rPr>
          <w:rFonts w:ascii="Times New Roman" w:eastAsia="Times New Roman" w:hAnsi="Times New Roman" w:cs="Times New Roman"/>
          <w:color w:val="000000" w:themeColor="text1"/>
        </w:rPr>
        <w:t>Gränserna suddas</w:t>
      </w:r>
      <w:r w:rsidR="6F90D46F" w:rsidRPr="4E746557">
        <w:rPr>
          <w:rFonts w:ascii="Times New Roman" w:eastAsia="Times New Roman" w:hAnsi="Times New Roman" w:cs="Times New Roman"/>
          <w:color w:val="000000" w:themeColor="text1"/>
        </w:rPr>
        <w:t xml:space="preserve"> ut</w:t>
      </w:r>
      <w:r w:rsidR="7EC1D682" w:rsidRPr="4E746557">
        <w:rPr>
          <w:rFonts w:ascii="Times New Roman" w:eastAsia="Times New Roman" w:hAnsi="Times New Roman" w:cs="Times New Roman"/>
          <w:color w:val="000000" w:themeColor="text1"/>
        </w:rPr>
        <w:t xml:space="preserve"> mellan vad om sker fysiskt och vad som är digitalt</w:t>
      </w:r>
      <w:r w:rsidR="4C2C8A4B" w:rsidRPr="4E746557">
        <w:rPr>
          <w:rFonts w:ascii="Times New Roman" w:eastAsia="Times New Roman" w:hAnsi="Times New Roman" w:cs="Times New Roman"/>
          <w:color w:val="000000" w:themeColor="text1"/>
        </w:rPr>
        <w:t xml:space="preserve"> samt </w:t>
      </w:r>
      <w:r w:rsidR="146BAD8B" w:rsidRPr="4E746557">
        <w:rPr>
          <w:rFonts w:ascii="Times New Roman" w:eastAsia="Times New Roman" w:hAnsi="Times New Roman" w:cs="Times New Roman"/>
          <w:color w:val="000000" w:themeColor="text1"/>
        </w:rPr>
        <w:t>det vi gör på fritiden och det vi gör i arbetet. Konsumtion sker överallt hela tiden och u</w:t>
      </w:r>
      <w:r w:rsidR="2AE11E59" w:rsidRPr="4E746557">
        <w:rPr>
          <w:rFonts w:ascii="Times New Roman" w:eastAsia="Times New Roman" w:hAnsi="Times New Roman" w:cs="Times New Roman"/>
          <w:color w:val="000000" w:themeColor="text1"/>
        </w:rPr>
        <w:t xml:space="preserve">pplevelser äger ofta rum parallellt i den fysiska och digitala världen samt i ett mellanting av dem som innefattar såväl fysiska som digitala inslag, </w:t>
      </w:r>
      <w:r w:rsidR="00484A33" w:rsidRPr="4E746557">
        <w:rPr>
          <w:rFonts w:ascii="Times New Roman" w:eastAsia="Times New Roman" w:hAnsi="Times New Roman" w:cs="Times New Roman"/>
          <w:color w:val="000000" w:themeColor="text1"/>
        </w:rPr>
        <w:t>till exempel</w:t>
      </w:r>
      <w:r w:rsidR="2AE11E59" w:rsidRPr="4E746557">
        <w:rPr>
          <w:rFonts w:ascii="Times New Roman" w:eastAsia="Times New Roman" w:hAnsi="Times New Roman" w:cs="Times New Roman"/>
          <w:color w:val="000000" w:themeColor="text1"/>
        </w:rPr>
        <w:t xml:space="preserve"> Virtual Reality eller Augmented Reality.</w:t>
      </w:r>
      <w:r w:rsidR="6F966605" w:rsidRPr="4E746557">
        <w:rPr>
          <w:rFonts w:ascii="Times New Roman" w:eastAsia="Times New Roman" w:hAnsi="Times New Roman" w:cs="Times New Roman"/>
          <w:color w:val="000000" w:themeColor="text1"/>
        </w:rPr>
        <w:t xml:space="preserve"> </w:t>
      </w:r>
      <w:r w:rsidRPr="4E746557">
        <w:rPr>
          <w:rFonts w:ascii="Times New Roman" w:eastAsia="Times New Roman" w:hAnsi="Times New Roman" w:cs="Times New Roman"/>
          <w:color w:val="000000" w:themeColor="text1"/>
        </w:rPr>
        <w:t xml:space="preserve">Digitala besökare, i form av personer som exempelvis följer evenemang och möten på distans istället för att resa till en destination, kan komma att få betydande konsekvenser för besöksvolymerna på destinationen. Detta i sin tur påverkar möjligheten för boendeanläggningar, restauranger, detaljhandeln, </w:t>
      </w:r>
      <w:r w:rsidR="00484A33" w:rsidRPr="4E746557">
        <w:rPr>
          <w:rFonts w:ascii="Times New Roman" w:eastAsia="Times New Roman" w:hAnsi="Times New Roman" w:cs="Times New Roman"/>
          <w:color w:val="000000" w:themeColor="text1"/>
        </w:rPr>
        <w:t>med flera</w:t>
      </w:r>
      <w:r w:rsidRPr="4E746557">
        <w:rPr>
          <w:rFonts w:ascii="Times New Roman" w:eastAsia="Times New Roman" w:hAnsi="Times New Roman" w:cs="Times New Roman"/>
          <w:color w:val="000000" w:themeColor="text1"/>
        </w:rPr>
        <w:t xml:space="preserve"> att generera omsättning till följd av turism. Det kan även komma att påverka hur begreppen turism och besökare</w:t>
      </w:r>
      <w:r w:rsidR="160A428C" w:rsidRPr="4E746557">
        <w:rPr>
          <w:rFonts w:ascii="Times New Roman" w:eastAsia="Times New Roman" w:hAnsi="Times New Roman" w:cs="Times New Roman"/>
          <w:color w:val="000000" w:themeColor="text1"/>
        </w:rPr>
        <w:t xml:space="preserve"> i framtiden kan komma att</w:t>
      </w:r>
      <w:r w:rsidRPr="4E746557">
        <w:rPr>
          <w:rFonts w:ascii="Times New Roman" w:eastAsia="Times New Roman" w:hAnsi="Times New Roman" w:cs="Times New Roman"/>
          <w:color w:val="000000" w:themeColor="text1"/>
        </w:rPr>
        <w:t xml:space="preserve"> definieras. </w:t>
      </w:r>
    </w:p>
    <w:p w14:paraId="1DEDF966" w14:textId="2989FA3D" w:rsidR="74055342" w:rsidRDefault="41B9D55F" w:rsidP="00484A33">
      <w:pPr>
        <w:spacing w:line="276" w:lineRule="auto"/>
        <w:rPr>
          <w:rFonts w:ascii="Times New Roman" w:eastAsia="Times New Roman" w:hAnsi="Times New Roman" w:cs="Times New Roman"/>
          <w:color w:val="000000" w:themeColor="text1"/>
          <w:highlight w:val="yellow"/>
        </w:rPr>
      </w:pPr>
      <w:r w:rsidRPr="4E746557">
        <w:rPr>
          <w:rFonts w:ascii="Times New Roman" w:eastAsia="Times New Roman" w:hAnsi="Times New Roman" w:cs="Times New Roman"/>
          <w:color w:val="000000" w:themeColor="text1"/>
        </w:rPr>
        <w:t xml:space="preserve">Digitala besökare </w:t>
      </w:r>
      <w:r w:rsidR="3C98D8B5" w:rsidRPr="4E746557">
        <w:rPr>
          <w:rFonts w:ascii="Times New Roman" w:eastAsia="Times New Roman" w:hAnsi="Times New Roman" w:cs="Times New Roman"/>
          <w:color w:val="000000" w:themeColor="text1"/>
        </w:rPr>
        <w:t xml:space="preserve">vill inte </w:t>
      </w:r>
      <w:r w:rsidRPr="4E746557">
        <w:rPr>
          <w:rFonts w:ascii="Times New Roman" w:eastAsia="Times New Roman" w:hAnsi="Times New Roman" w:cs="Times New Roman"/>
          <w:color w:val="000000" w:themeColor="text1"/>
        </w:rPr>
        <w:t>bara se och höra innehåll från en destination eller ett evenemang. De vill kunna delta och interagera med andra besökare, fysiska som digitala. För näringens aktörer blir det</w:t>
      </w:r>
      <w:r w:rsidR="1E328B56" w:rsidRPr="4E746557">
        <w:rPr>
          <w:rFonts w:ascii="Times New Roman" w:eastAsia="Times New Roman" w:hAnsi="Times New Roman" w:cs="Times New Roman"/>
          <w:color w:val="000000" w:themeColor="text1"/>
        </w:rPr>
        <w:t xml:space="preserve"> därför</w:t>
      </w:r>
      <w:r w:rsidRPr="4E746557">
        <w:rPr>
          <w:rFonts w:ascii="Times New Roman" w:eastAsia="Times New Roman" w:hAnsi="Times New Roman" w:cs="Times New Roman"/>
          <w:color w:val="000000" w:themeColor="text1"/>
        </w:rPr>
        <w:t xml:space="preserve"> allt viktigare att erbjuda digitala lösningar som ett komplement till de fysiska, vilket kräver att nya samarbetspartners </w:t>
      </w:r>
      <w:r w:rsidR="2671702C" w:rsidRPr="4E746557">
        <w:rPr>
          <w:rFonts w:ascii="Times New Roman" w:eastAsia="Times New Roman" w:hAnsi="Times New Roman" w:cs="Times New Roman"/>
          <w:color w:val="000000" w:themeColor="text1"/>
        </w:rPr>
        <w:t xml:space="preserve">hittas </w:t>
      </w:r>
      <w:r w:rsidRPr="4E746557">
        <w:rPr>
          <w:rFonts w:ascii="Times New Roman" w:eastAsia="Times New Roman" w:hAnsi="Times New Roman" w:cs="Times New Roman"/>
          <w:color w:val="000000" w:themeColor="text1"/>
        </w:rPr>
        <w:t xml:space="preserve">och </w:t>
      </w:r>
      <w:r w:rsidR="3EE5A90C" w:rsidRPr="4E746557">
        <w:rPr>
          <w:rFonts w:ascii="Times New Roman" w:eastAsia="Times New Roman" w:hAnsi="Times New Roman" w:cs="Times New Roman"/>
          <w:color w:val="000000" w:themeColor="text1"/>
        </w:rPr>
        <w:t>att företagen</w:t>
      </w:r>
      <w:r w:rsidRPr="4E746557">
        <w:rPr>
          <w:rFonts w:ascii="Times New Roman" w:eastAsia="Times New Roman" w:hAnsi="Times New Roman" w:cs="Times New Roman"/>
          <w:color w:val="000000" w:themeColor="text1"/>
        </w:rPr>
        <w:t xml:space="preserve"> ägnar sig åt intern kompetensutveckling för att vara uppdaterad</w:t>
      </w:r>
      <w:r w:rsidR="3D994F1B" w:rsidRPr="4E746557">
        <w:rPr>
          <w:rFonts w:ascii="Times New Roman" w:eastAsia="Times New Roman" w:hAnsi="Times New Roman" w:cs="Times New Roman"/>
          <w:color w:val="000000" w:themeColor="text1"/>
        </w:rPr>
        <w:t>e</w:t>
      </w:r>
      <w:r w:rsidRPr="4E746557">
        <w:rPr>
          <w:rFonts w:ascii="Times New Roman" w:eastAsia="Times New Roman" w:hAnsi="Times New Roman" w:cs="Times New Roman"/>
          <w:color w:val="000000" w:themeColor="text1"/>
        </w:rPr>
        <w:t xml:space="preserve">. </w:t>
      </w:r>
      <w:r w:rsidR="4D533FDE" w:rsidRPr="4E746557">
        <w:rPr>
          <w:rFonts w:ascii="Times New Roman" w:eastAsia="Times New Roman" w:hAnsi="Times New Roman" w:cs="Times New Roman"/>
          <w:color w:val="000000" w:themeColor="text1"/>
        </w:rPr>
        <w:t xml:space="preserve">Det blir viktigt för </w:t>
      </w:r>
      <w:r w:rsidR="122550B5" w:rsidRPr="4E746557">
        <w:rPr>
          <w:rFonts w:ascii="Times New Roman" w:eastAsia="Times New Roman" w:hAnsi="Times New Roman" w:cs="Times New Roman"/>
          <w:color w:val="000000" w:themeColor="text1"/>
        </w:rPr>
        <w:t>näringsidkare</w:t>
      </w:r>
      <w:r w:rsidR="4D533FDE" w:rsidRPr="4E746557">
        <w:rPr>
          <w:rFonts w:ascii="Times New Roman" w:eastAsia="Times New Roman" w:hAnsi="Times New Roman" w:cs="Times New Roman"/>
          <w:color w:val="000000" w:themeColor="text1"/>
        </w:rPr>
        <w:t xml:space="preserve"> och destinationer att hitta sin rätta mix av fysiskt och digitalt utbud som möter kundens behov och förväntningar för att kunna erbjuda relevanta och attraktiva upplevelser. </w:t>
      </w:r>
      <w:r w:rsidRPr="4E746557">
        <w:rPr>
          <w:rFonts w:ascii="Times New Roman" w:eastAsia="Times New Roman" w:hAnsi="Times New Roman" w:cs="Times New Roman"/>
          <w:color w:val="000000" w:themeColor="text1"/>
        </w:rPr>
        <w:t xml:space="preserve">Nya tekniska lösningar som möjliggör interaktiva hybridupplevelser väntas ständigt introduceras på marknaden. </w:t>
      </w:r>
      <w:r w:rsidR="1AB62771" w:rsidRPr="4E746557">
        <w:rPr>
          <w:rFonts w:ascii="Times New Roman" w:eastAsia="Times New Roman" w:hAnsi="Times New Roman" w:cs="Times New Roman"/>
          <w:color w:val="000000" w:themeColor="text1"/>
        </w:rPr>
        <w:t xml:space="preserve">Hybridformatet innebär att det finns en livehändelse med deltagare både fysiskt och digitalt, där alla har möjlighet att interagera, oavsett var </w:t>
      </w:r>
      <w:r w:rsidR="208692E0" w:rsidRPr="4E746557">
        <w:rPr>
          <w:rFonts w:ascii="Times New Roman" w:eastAsia="Times New Roman" w:hAnsi="Times New Roman" w:cs="Times New Roman"/>
          <w:color w:val="000000" w:themeColor="text1"/>
        </w:rPr>
        <w:t>deltagaren befinner sig</w:t>
      </w:r>
      <w:r w:rsidR="1AB62771" w:rsidRPr="4E746557">
        <w:rPr>
          <w:rFonts w:ascii="Times New Roman" w:eastAsia="Times New Roman" w:hAnsi="Times New Roman" w:cs="Times New Roman"/>
          <w:color w:val="000000" w:themeColor="text1"/>
        </w:rPr>
        <w:t>. Det är samtidigt viktigt att inte bara se denna utveckling som ett hot mot den fysiska besöksnäringen, utan som en möjlighet att nå ut till fler målgrupper och hitta nya intäktskällor.</w:t>
      </w:r>
      <w:r w:rsidRPr="4E746557">
        <w:rPr>
          <w:rFonts w:ascii="Times New Roman" w:eastAsia="Times New Roman" w:hAnsi="Times New Roman" w:cs="Times New Roman"/>
          <w:color w:val="000000" w:themeColor="text1"/>
        </w:rPr>
        <w:t xml:space="preserve"> </w:t>
      </w:r>
      <w:r w:rsidR="2CB80063" w:rsidRPr="4E746557">
        <w:rPr>
          <w:rFonts w:ascii="Times New Roman" w:eastAsia="Times New Roman" w:hAnsi="Times New Roman" w:cs="Times New Roman"/>
          <w:color w:val="000000" w:themeColor="text1"/>
        </w:rPr>
        <w:t>En medvetenhet bör finnas om att det kan komma att ske ett maktskifte från de traditionella evenemangs- och mötesarrangörerna till digitala plattformar som tillhandahåller och sprider upplevelser.</w:t>
      </w:r>
    </w:p>
    <w:p w14:paraId="6568BF9F" w14:textId="6C7B14D6" w:rsidR="1F054042" w:rsidRDefault="1F054042" w:rsidP="00484A33">
      <w:pPr>
        <w:spacing w:line="276" w:lineRule="auto"/>
        <w:rPr>
          <w:rFonts w:ascii="Times New Roman" w:eastAsia="Times New Roman" w:hAnsi="Times New Roman" w:cs="Times New Roman"/>
          <w:color w:val="000000" w:themeColor="text1"/>
          <w:highlight w:val="yellow"/>
        </w:rPr>
      </w:pPr>
      <w:r w:rsidRPr="1E318009">
        <w:rPr>
          <w:rFonts w:ascii="Times New Roman" w:eastAsia="Times New Roman" w:hAnsi="Times New Roman" w:cs="Times New Roman"/>
          <w:color w:val="000000" w:themeColor="text1"/>
        </w:rPr>
        <w:t>En mycket snabb utveckling av digitala arbetssätt och verktyg, i kombination med coronapandemin, har</w:t>
      </w:r>
      <w:r w:rsidR="0E15B3C9" w:rsidRPr="1E318009">
        <w:rPr>
          <w:rFonts w:ascii="Times New Roman" w:eastAsia="Times New Roman" w:hAnsi="Times New Roman" w:cs="Times New Roman"/>
          <w:color w:val="000000" w:themeColor="text1"/>
        </w:rPr>
        <w:t xml:space="preserve"> även</w:t>
      </w:r>
      <w:r w:rsidRPr="1E318009">
        <w:rPr>
          <w:rFonts w:ascii="Times New Roman" w:eastAsia="Times New Roman" w:hAnsi="Times New Roman" w:cs="Times New Roman"/>
          <w:color w:val="000000" w:themeColor="text1"/>
        </w:rPr>
        <w:t xml:space="preserve"> lett till ett minskat affärsresande i hela världen. Osäkerheten kring affärsresandets återhämtning till tidigare nivåer är stor</w:t>
      </w:r>
      <w:r w:rsidR="689F93D0" w:rsidRPr="1E318009">
        <w:rPr>
          <w:rFonts w:ascii="Times New Roman" w:eastAsia="Times New Roman" w:hAnsi="Times New Roman" w:cs="Times New Roman"/>
          <w:color w:val="000000" w:themeColor="text1"/>
        </w:rPr>
        <w:t xml:space="preserve"> då många</w:t>
      </w:r>
      <w:r w:rsidR="2AF1A177" w:rsidRPr="1E318009">
        <w:rPr>
          <w:rFonts w:ascii="Times New Roman" w:eastAsia="Times New Roman" w:hAnsi="Times New Roman" w:cs="Times New Roman"/>
          <w:color w:val="000000" w:themeColor="text1"/>
        </w:rPr>
        <w:t>,</w:t>
      </w:r>
      <w:r w:rsidR="689F93D0" w:rsidRPr="1E318009">
        <w:rPr>
          <w:rFonts w:ascii="Times New Roman" w:eastAsia="Times New Roman" w:hAnsi="Times New Roman" w:cs="Times New Roman"/>
          <w:color w:val="000000" w:themeColor="text1"/>
        </w:rPr>
        <w:t xml:space="preserve"> både företag och individer</w:t>
      </w:r>
      <w:r w:rsidR="4B80F779" w:rsidRPr="1E318009">
        <w:rPr>
          <w:rFonts w:ascii="Times New Roman" w:eastAsia="Times New Roman" w:hAnsi="Times New Roman" w:cs="Times New Roman"/>
          <w:color w:val="000000" w:themeColor="text1"/>
        </w:rPr>
        <w:t>,</w:t>
      </w:r>
      <w:r w:rsidR="689F93D0" w:rsidRPr="1E318009">
        <w:rPr>
          <w:rFonts w:ascii="Times New Roman" w:eastAsia="Times New Roman" w:hAnsi="Times New Roman" w:cs="Times New Roman"/>
          <w:color w:val="000000" w:themeColor="text1"/>
        </w:rPr>
        <w:t xml:space="preserve"> upptäckt fördelarna med distansmöten och distansarbete som innebär både kostnads- och tidsbesparingar. </w:t>
      </w:r>
      <w:r w:rsidR="041EC664" w:rsidRPr="1E318009">
        <w:rPr>
          <w:rFonts w:ascii="Times New Roman" w:eastAsia="Times New Roman" w:hAnsi="Times New Roman" w:cs="Times New Roman"/>
          <w:color w:val="000000" w:themeColor="text1"/>
        </w:rPr>
        <w:t xml:space="preserve">Från företagens perspektiv är ett minskat resande för anställda även ett </w:t>
      </w:r>
      <w:r w:rsidR="7D496755" w:rsidRPr="1E318009">
        <w:rPr>
          <w:rFonts w:ascii="Times New Roman" w:eastAsia="Times New Roman" w:hAnsi="Times New Roman" w:cs="Times New Roman"/>
          <w:color w:val="000000" w:themeColor="text1"/>
        </w:rPr>
        <w:t>sätt att visa att</w:t>
      </w:r>
      <w:r w:rsidR="0A6A1152" w:rsidRPr="1E318009">
        <w:rPr>
          <w:rFonts w:ascii="Times New Roman" w:eastAsia="Times New Roman" w:hAnsi="Times New Roman" w:cs="Times New Roman"/>
          <w:color w:val="000000" w:themeColor="text1"/>
        </w:rPr>
        <w:t xml:space="preserve"> företaget</w:t>
      </w:r>
      <w:r w:rsidR="7D496755" w:rsidRPr="1E318009">
        <w:rPr>
          <w:rFonts w:ascii="Times New Roman" w:eastAsia="Times New Roman" w:hAnsi="Times New Roman" w:cs="Times New Roman"/>
          <w:color w:val="000000" w:themeColor="text1"/>
        </w:rPr>
        <w:t xml:space="preserve"> tar hänsyn till mi</w:t>
      </w:r>
      <w:r w:rsidR="7A8C015A" w:rsidRPr="1E318009">
        <w:rPr>
          <w:rFonts w:ascii="Times New Roman" w:eastAsia="Times New Roman" w:hAnsi="Times New Roman" w:cs="Times New Roman"/>
          <w:color w:val="000000" w:themeColor="text1"/>
        </w:rPr>
        <w:t>l</w:t>
      </w:r>
      <w:r w:rsidR="7D496755" w:rsidRPr="1E318009">
        <w:rPr>
          <w:rFonts w:ascii="Times New Roman" w:eastAsia="Times New Roman" w:hAnsi="Times New Roman" w:cs="Times New Roman"/>
          <w:color w:val="000000" w:themeColor="text1"/>
        </w:rPr>
        <w:t>jön och de</w:t>
      </w:r>
      <w:r w:rsidR="3B4B4B8F" w:rsidRPr="1E318009">
        <w:rPr>
          <w:rFonts w:ascii="Times New Roman" w:eastAsia="Times New Roman" w:hAnsi="Times New Roman" w:cs="Times New Roman"/>
          <w:color w:val="000000" w:themeColor="text1"/>
        </w:rPr>
        <w:t>t</w:t>
      </w:r>
      <w:r w:rsidR="7D496755" w:rsidRPr="1E318009">
        <w:rPr>
          <w:rFonts w:ascii="Times New Roman" w:eastAsia="Times New Roman" w:hAnsi="Times New Roman" w:cs="Times New Roman"/>
          <w:color w:val="000000" w:themeColor="text1"/>
        </w:rPr>
        <w:t xml:space="preserve"> klimatavtryck verksamheten bidrar till. </w:t>
      </w:r>
      <w:r w:rsidR="041EC664" w:rsidRPr="1E318009">
        <w:rPr>
          <w:rFonts w:ascii="Times New Roman" w:eastAsia="Times New Roman" w:hAnsi="Times New Roman" w:cs="Times New Roman"/>
          <w:color w:val="000000" w:themeColor="text1"/>
        </w:rPr>
        <w:t xml:space="preserve">En möjlig </w:t>
      </w:r>
      <w:r w:rsidR="37E34DC1" w:rsidRPr="1E318009">
        <w:rPr>
          <w:rFonts w:ascii="Times New Roman" w:eastAsia="Times New Roman" w:hAnsi="Times New Roman" w:cs="Times New Roman"/>
          <w:color w:val="000000" w:themeColor="text1"/>
        </w:rPr>
        <w:t xml:space="preserve">utveckling </w:t>
      </w:r>
      <w:r w:rsidR="041EC664" w:rsidRPr="1E318009">
        <w:rPr>
          <w:rFonts w:ascii="Times New Roman" w:eastAsia="Times New Roman" w:hAnsi="Times New Roman" w:cs="Times New Roman"/>
          <w:color w:val="000000" w:themeColor="text1"/>
        </w:rPr>
        <w:t xml:space="preserve">är </w:t>
      </w:r>
      <w:r w:rsidR="14808F69" w:rsidRPr="1E318009">
        <w:rPr>
          <w:rFonts w:ascii="Times New Roman" w:eastAsia="Times New Roman" w:hAnsi="Times New Roman" w:cs="Times New Roman"/>
          <w:color w:val="000000" w:themeColor="text1"/>
        </w:rPr>
        <w:t xml:space="preserve">att </w:t>
      </w:r>
      <w:r w:rsidR="041EC664" w:rsidRPr="1E318009">
        <w:rPr>
          <w:rFonts w:ascii="Times New Roman" w:eastAsia="Times New Roman" w:hAnsi="Times New Roman" w:cs="Times New Roman"/>
          <w:color w:val="000000" w:themeColor="text1"/>
        </w:rPr>
        <w:t xml:space="preserve">resepolicys </w:t>
      </w:r>
      <w:r w:rsidR="6961D658" w:rsidRPr="1E318009">
        <w:rPr>
          <w:rFonts w:ascii="Times New Roman" w:eastAsia="Times New Roman" w:hAnsi="Times New Roman" w:cs="Times New Roman"/>
          <w:color w:val="000000" w:themeColor="text1"/>
        </w:rPr>
        <w:t xml:space="preserve">kommer uppdateras </w:t>
      </w:r>
      <w:r w:rsidR="041EC664" w:rsidRPr="1E318009">
        <w:rPr>
          <w:rFonts w:ascii="Times New Roman" w:eastAsia="Times New Roman" w:hAnsi="Times New Roman" w:cs="Times New Roman"/>
          <w:color w:val="000000" w:themeColor="text1"/>
        </w:rPr>
        <w:t>som uppmuntrar till fler distansmöten</w:t>
      </w:r>
      <w:r w:rsidR="42C5BB10" w:rsidRPr="1E318009">
        <w:rPr>
          <w:rFonts w:ascii="Times New Roman" w:eastAsia="Times New Roman" w:hAnsi="Times New Roman" w:cs="Times New Roman"/>
          <w:color w:val="000000" w:themeColor="text1"/>
        </w:rPr>
        <w:t xml:space="preserve"> samt en </w:t>
      </w:r>
      <w:r w:rsidR="041EC664" w:rsidRPr="1E318009">
        <w:rPr>
          <w:rFonts w:ascii="Times New Roman" w:eastAsia="Times New Roman" w:hAnsi="Times New Roman" w:cs="Times New Roman"/>
          <w:color w:val="000000" w:themeColor="text1"/>
        </w:rPr>
        <w:t xml:space="preserve">önskan om att anställda optimerar sin reseplanering och exempelvis bokar in fler möten per resa. Tröskeln att göra en affärsresa eller att fysiskt delta på en större kongress eller mässa kommer med stor sannolikhet att </w:t>
      </w:r>
      <w:r w:rsidR="22182DA9" w:rsidRPr="1E318009">
        <w:rPr>
          <w:rFonts w:ascii="Times New Roman" w:eastAsia="Times New Roman" w:hAnsi="Times New Roman" w:cs="Times New Roman"/>
          <w:color w:val="000000" w:themeColor="text1"/>
        </w:rPr>
        <w:t xml:space="preserve">vara högre </w:t>
      </w:r>
      <w:r w:rsidR="041EC664" w:rsidRPr="1E318009">
        <w:rPr>
          <w:rFonts w:ascii="Times New Roman" w:eastAsia="Times New Roman" w:hAnsi="Times New Roman" w:cs="Times New Roman"/>
          <w:color w:val="000000" w:themeColor="text1"/>
        </w:rPr>
        <w:t>och dagsresorna minska kraftigt</w:t>
      </w:r>
      <w:r w:rsidR="5DD2BD77" w:rsidRPr="1E318009">
        <w:rPr>
          <w:rFonts w:ascii="Times New Roman" w:eastAsia="Times New Roman" w:hAnsi="Times New Roman" w:cs="Times New Roman"/>
          <w:color w:val="000000" w:themeColor="text1"/>
        </w:rPr>
        <w:t>, jämfört med tiden före coronapandemin</w:t>
      </w:r>
      <w:r w:rsidR="041EC664" w:rsidRPr="1E318009">
        <w:rPr>
          <w:rFonts w:ascii="Times New Roman" w:eastAsia="Times New Roman" w:hAnsi="Times New Roman" w:cs="Times New Roman"/>
          <w:color w:val="000000" w:themeColor="text1"/>
        </w:rPr>
        <w:t xml:space="preserve">. </w:t>
      </w:r>
      <w:r w:rsidR="49BA62A1" w:rsidRPr="1E318009">
        <w:rPr>
          <w:rFonts w:ascii="Times New Roman" w:eastAsia="Times New Roman" w:hAnsi="Times New Roman" w:cs="Times New Roman"/>
          <w:color w:val="000000" w:themeColor="text1"/>
        </w:rPr>
        <w:t>Dock kommer v</w:t>
      </w:r>
      <w:r w:rsidR="041EC664" w:rsidRPr="1E318009">
        <w:rPr>
          <w:rFonts w:ascii="Times New Roman" w:eastAsia="Times New Roman" w:hAnsi="Times New Roman" w:cs="Times New Roman"/>
          <w:color w:val="000000" w:themeColor="text1"/>
        </w:rPr>
        <w:t>issa möten även fortsättning</w:t>
      </w:r>
      <w:r w:rsidR="6B2A22AD" w:rsidRPr="1E318009">
        <w:rPr>
          <w:rFonts w:ascii="Times New Roman" w:eastAsia="Times New Roman" w:hAnsi="Times New Roman" w:cs="Times New Roman"/>
          <w:color w:val="000000" w:themeColor="text1"/>
        </w:rPr>
        <w:t>svis</w:t>
      </w:r>
      <w:r w:rsidR="041EC664" w:rsidRPr="1E318009">
        <w:rPr>
          <w:rFonts w:ascii="Times New Roman" w:eastAsia="Times New Roman" w:hAnsi="Times New Roman" w:cs="Times New Roman"/>
          <w:color w:val="000000" w:themeColor="text1"/>
        </w:rPr>
        <w:t xml:space="preserve"> behöva hållas fysiskt av olika skäl, men en nedgång är troligen att vänta.  </w:t>
      </w:r>
    </w:p>
    <w:p w14:paraId="63B0A19D" w14:textId="01074FAB" w:rsidR="458B65FA" w:rsidRDefault="7C762118" w:rsidP="00484A33">
      <w:pPr>
        <w:spacing w:line="276" w:lineRule="auto"/>
        <w:rPr>
          <w:rFonts w:ascii="Times New Roman" w:eastAsia="Times New Roman" w:hAnsi="Times New Roman" w:cs="Times New Roman"/>
          <w:color w:val="000000" w:themeColor="text1"/>
        </w:rPr>
      </w:pPr>
      <w:r w:rsidRPr="1E318009">
        <w:rPr>
          <w:rFonts w:ascii="Times New Roman" w:eastAsia="Times New Roman" w:hAnsi="Times New Roman" w:cs="Times New Roman"/>
          <w:color w:val="000000" w:themeColor="text1"/>
        </w:rPr>
        <w:lastRenderedPageBreak/>
        <w:t xml:space="preserve">Affärssegmentet är generellt mer lönsamt då det i större utsträckning innebär exempelvis bokning av enkelrum, förstaklassbiljetter, representationsmiddagar, </w:t>
      </w:r>
      <w:r w:rsidR="005F2DB0" w:rsidRPr="1E318009">
        <w:rPr>
          <w:rFonts w:ascii="Times New Roman" w:eastAsia="Times New Roman" w:hAnsi="Times New Roman" w:cs="Times New Roman"/>
          <w:color w:val="000000" w:themeColor="text1"/>
        </w:rPr>
        <w:t>med mera</w:t>
      </w:r>
      <w:r w:rsidR="73D4201F" w:rsidRPr="1E318009">
        <w:rPr>
          <w:rFonts w:ascii="Times New Roman" w:eastAsia="Times New Roman" w:hAnsi="Times New Roman" w:cs="Times New Roman"/>
          <w:color w:val="000000" w:themeColor="text1"/>
        </w:rPr>
        <w:t>.</w:t>
      </w:r>
      <w:r w:rsidRPr="1E318009">
        <w:rPr>
          <w:rFonts w:ascii="Times New Roman" w:eastAsia="Times New Roman" w:hAnsi="Times New Roman" w:cs="Times New Roman"/>
          <w:color w:val="000000" w:themeColor="text1"/>
        </w:rPr>
        <w:t xml:space="preserve"> Bortfallet inom affärsresandet kan därmed bli svårt att kompensera rent intäktsmässigt. Färre transporter och övernattningar, främst på vardagar ställer krav på näringen att i större utsträckning än tidigare</w:t>
      </w:r>
      <w:r w:rsidR="4C93883B" w:rsidRPr="1E318009">
        <w:rPr>
          <w:rFonts w:ascii="Times New Roman" w:eastAsia="Times New Roman" w:hAnsi="Times New Roman" w:cs="Times New Roman"/>
          <w:color w:val="000000" w:themeColor="text1"/>
        </w:rPr>
        <w:t xml:space="preserve">, </w:t>
      </w:r>
      <w:r w:rsidRPr="1E318009">
        <w:rPr>
          <w:rFonts w:ascii="Times New Roman" w:eastAsia="Times New Roman" w:hAnsi="Times New Roman" w:cs="Times New Roman"/>
          <w:color w:val="000000" w:themeColor="text1"/>
        </w:rPr>
        <w:t>rikta sig till privatsegmentet även utanför högsäsong, lov och helger för att höja sin beläggning. De besöksnäringsaktörer som tidigare haft en hög andel affärsresenärer som kunder</w:t>
      </w:r>
      <w:r w:rsidR="7BC1E590" w:rsidRPr="1E318009">
        <w:rPr>
          <w:rFonts w:ascii="Times New Roman" w:eastAsia="Times New Roman" w:hAnsi="Times New Roman" w:cs="Times New Roman"/>
          <w:color w:val="000000" w:themeColor="text1"/>
        </w:rPr>
        <w:t>,</w:t>
      </w:r>
      <w:r w:rsidRPr="1E318009">
        <w:rPr>
          <w:rFonts w:ascii="Times New Roman" w:eastAsia="Times New Roman" w:hAnsi="Times New Roman" w:cs="Times New Roman"/>
          <w:color w:val="000000" w:themeColor="text1"/>
        </w:rPr>
        <w:t xml:space="preserve"> behöver överväga sin affärsmodell för att hitta nya intäktsmöjligheter. Likaså väntas konkurrensen hårdna bland mötesarrangörer och -anläggningar, </w:t>
      </w:r>
      <w:r w:rsidR="3FF8C259" w:rsidRPr="1E318009">
        <w:rPr>
          <w:rFonts w:ascii="Times New Roman" w:eastAsia="Times New Roman" w:hAnsi="Times New Roman" w:cs="Times New Roman"/>
          <w:color w:val="000000" w:themeColor="text1"/>
        </w:rPr>
        <w:t>såväl nationellt som internationellt,</w:t>
      </w:r>
      <w:r w:rsidRPr="1E318009">
        <w:rPr>
          <w:rFonts w:ascii="Times New Roman" w:eastAsia="Times New Roman" w:hAnsi="Times New Roman" w:cs="Times New Roman"/>
          <w:color w:val="000000" w:themeColor="text1"/>
        </w:rPr>
        <w:t xml:space="preserve"> </w:t>
      </w:r>
      <w:r w:rsidR="1909BDA4" w:rsidRPr="1E318009">
        <w:rPr>
          <w:rFonts w:ascii="Times New Roman" w:eastAsia="Times New Roman" w:hAnsi="Times New Roman" w:cs="Times New Roman"/>
          <w:color w:val="000000" w:themeColor="text1"/>
        </w:rPr>
        <w:t>om</w:t>
      </w:r>
      <w:r w:rsidRPr="1E318009">
        <w:rPr>
          <w:rFonts w:ascii="Times New Roman" w:eastAsia="Times New Roman" w:hAnsi="Times New Roman" w:cs="Times New Roman"/>
          <w:color w:val="000000" w:themeColor="text1"/>
        </w:rPr>
        <w:t xml:space="preserve"> mötesvolyme</w:t>
      </w:r>
      <w:r w:rsidR="3E15DDAB" w:rsidRPr="1E318009">
        <w:rPr>
          <w:rFonts w:ascii="Times New Roman" w:eastAsia="Times New Roman" w:hAnsi="Times New Roman" w:cs="Times New Roman"/>
          <w:color w:val="000000" w:themeColor="text1"/>
        </w:rPr>
        <w:t>r</w:t>
      </w:r>
      <w:r w:rsidRPr="1E318009">
        <w:rPr>
          <w:rFonts w:ascii="Times New Roman" w:eastAsia="Times New Roman" w:hAnsi="Times New Roman" w:cs="Times New Roman"/>
          <w:color w:val="000000" w:themeColor="text1"/>
        </w:rPr>
        <w:t>n</w:t>
      </w:r>
      <w:r w:rsidR="3E15DDAB" w:rsidRPr="1E318009">
        <w:rPr>
          <w:rFonts w:ascii="Times New Roman" w:eastAsia="Times New Roman" w:hAnsi="Times New Roman" w:cs="Times New Roman"/>
          <w:color w:val="000000" w:themeColor="text1"/>
        </w:rPr>
        <w:t>a</w:t>
      </w:r>
      <w:r w:rsidRPr="1E318009">
        <w:rPr>
          <w:rFonts w:ascii="Times New Roman" w:eastAsia="Times New Roman" w:hAnsi="Times New Roman" w:cs="Times New Roman"/>
          <w:color w:val="000000" w:themeColor="text1"/>
        </w:rPr>
        <w:t xml:space="preserve"> minska</w:t>
      </w:r>
      <w:r w:rsidR="1C29B709" w:rsidRPr="1E318009">
        <w:rPr>
          <w:rFonts w:ascii="Times New Roman" w:eastAsia="Times New Roman" w:hAnsi="Times New Roman" w:cs="Times New Roman"/>
          <w:color w:val="000000" w:themeColor="text1"/>
        </w:rPr>
        <w:t>r</w:t>
      </w:r>
      <w:r w:rsidRPr="1E318009">
        <w:rPr>
          <w:rFonts w:ascii="Times New Roman" w:eastAsia="Times New Roman" w:hAnsi="Times New Roman" w:cs="Times New Roman"/>
          <w:color w:val="000000" w:themeColor="text1"/>
        </w:rPr>
        <w:t>, vilket innebär ytterligare utmaningar ur ett lönsamhetsperspektiv.</w:t>
      </w:r>
    </w:p>
    <w:p w14:paraId="09910686" w14:textId="5DAB6B5A" w:rsidR="69D713D3" w:rsidRDefault="6829D0FB" w:rsidP="00484A33">
      <w:pPr>
        <w:spacing w:line="276" w:lineRule="auto"/>
        <w:rPr>
          <w:rFonts w:ascii="Times New Roman" w:eastAsia="Times New Roman" w:hAnsi="Times New Roman" w:cs="Times New Roman"/>
        </w:rPr>
      </w:pPr>
      <w:r w:rsidRPr="00364CE3">
        <w:rPr>
          <w:rFonts w:ascii="Times New Roman" w:hAnsi="Times New Roman" w:cs="Times New Roman"/>
          <w:b/>
          <w:bCs/>
        </w:rPr>
        <w:t>H</w:t>
      </w:r>
      <w:r w:rsidR="5EE17F3F" w:rsidRPr="00364CE3">
        <w:rPr>
          <w:rFonts w:ascii="Times New Roman" w:hAnsi="Times New Roman" w:cs="Times New Roman"/>
          <w:b/>
          <w:bCs/>
        </w:rPr>
        <w:t>ållbar destinationsutveckling</w:t>
      </w:r>
      <w:r w:rsidR="5EE17F3F" w:rsidRPr="6CCF1721">
        <w:rPr>
          <w:rFonts w:ascii="Times New Roman" w:eastAsia="Times New Roman" w:hAnsi="Times New Roman" w:cs="Times New Roman"/>
          <w:b/>
          <w:bCs/>
        </w:rPr>
        <w:t xml:space="preserve"> </w:t>
      </w:r>
      <w:r w:rsidR="091EA154">
        <w:br/>
      </w:r>
      <w:r w:rsidR="66112599" w:rsidRPr="6CCF1721">
        <w:rPr>
          <w:rFonts w:ascii="Times New Roman" w:eastAsia="Times New Roman" w:hAnsi="Times New Roman" w:cs="Times New Roman"/>
        </w:rPr>
        <w:t xml:space="preserve">På ett internationellt plan ökar rörelsen kring hållbar destinationsutveckling. </w:t>
      </w:r>
      <w:r w:rsidR="04EBF936" w:rsidRPr="6CCF1721">
        <w:rPr>
          <w:rFonts w:ascii="Times New Roman" w:eastAsia="Times New Roman" w:hAnsi="Times New Roman" w:cs="Times New Roman"/>
        </w:rPr>
        <w:t xml:space="preserve">Att som tidigare ensidigt utvärdera besöksnäringens utveckling utifrån kvantitativa mål så som gästnätter och turismkonsumtion är </w:t>
      </w:r>
      <w:r w:rsidR="6FDFD9FC" w:rsidRPr="6CCF1721">
        <w:rPr>
          <w:rFonts w:ascii="Times New Roman" w:eastAsia="Times New Roman" w:hAnsi="Times New Roman" w:cs="Times New Roman"/>
        </w:rPr>
        <w:t xml:space="preserve">numera </w:t>
      </w:r>
      <w:r w:rsidR="04EBF936" w:rsidRPr="6CCF1721">
        <w:rPr>
          <w:rFonts w:ascii="Times New Roman" w:eastAsia="Times New Roman" w:hAnsi="Times New Roman" w:cs="Times New Roman"/>
        </w:rPr>
        <w:t xml:space="preserve">starkt ifrågasatt. </w:t>
      </w:r>
      <w:r w:rsidR="66112599" w:rsidRPr="6CCF1721">
        <w:rPr>
          <w:rFonts w:ascii="Times New Roman" w:eastAsia="Times New Roman" w:hAnsi="Times New Roman" w:cs="Times New Roman"/>
        </w:rPr>
        <w:t xml:space="preserve">Ett hållbart förhållningssätt inom destinationsutveckling skapar värden tillbaka till destinationen och dess invånare. </w:t>
      </w:r>
      <w:r w:rsidR="6C94EF0E" w:rsidRPr="6CCF1721">
        <w:rPr>
          <w:rFonts w:ascii="Times New Roman" w:eastAsia="Times New Roman" w:hAnsi="Times New Roman" w:cs="Times New Roman"/>
        </w:rPr>
        <w:t>Disku</w:t>
      </w:r>
      <w:r w:rsidR="4E8BB12B" w:rsidRPr="6CCF1721">
        <w:rPr>
          <w:rFonts w:ascii="Times New Roman" w:eastAsia="Times New Roman" w:hAnsi="Times New Roman" w:cs="Times New Roman"/>
        </w:rPr>
        <w:t xml:space="preserve">ssionerna </w:t>
      </w:r>
      <w:r w:rsidR="381EA0F5" w:rsidRPr="6CCF1721">
        <w:rPr>
          <w:rFonts w:ascii="Times New Roman" w:eastAsia="Times New Roman" w:hAnsi="Times New Roman" w:cs="Times New Roman"/>
        </w:rPr>
        <w:t xml:space="preserve">kring effekterna av destinationsutveckling </w:t>
      </w:r>
      <w:r w:rsidR="4E8BB12B" w:rsidRPr="6CCF1721">
        <w:rPr>
          <w:rFonts w:ascii="Times New Roman" w:eastAsia="Times New Roman" w:hAnsi="Times New Roman" w:cs="Times New Roman"/>
        </w:rPr>
        <w:t>har breddats till att även inkludera</w:t>
      </w:r>
      <w:r w:rsidR="29864DBF" w:rsidRPr="6CCF1721">
        <w:rPr>
          <w:rFonts w:ascii="Times New Roman" w:eastAsia="Times New Roman" w:hAnsi="Times New Roman" w:cs="Times New Roman"/>
        </w:rPr>
        <w:t xml:space="preserve"> faktorer så som</w:t>
      </w:r>
      <w:r w:rsidR="4E8BB12B" w:rsidRPr="6CCF1721">
        <w:rPr>
          <w:rFonts w:ascii="Times New Roman" w:eastAsia="Times New Roman" w:hAnsi="Times New Roman" w:cs="Times New Roman"/>
        </w:rPr>
        <w:t xml:space="preserve"> livskvalitet för destinationens invånare, utbudskvalitet, </w:t>
      </w:r>
      <w:r w:rsidR="183A10EE" w:rsidRPr="6CCF1721">
        <w:rPr>
          <w:rFonts w:ascii="Times New Roman" w:eastAsia="Times New Roman" w:hAnsi="Times New Roman" w:cs="Times New Roman"/>
        </w:rPr>
        <w:t xml:space="preserve">rättvisa </w:t>
      </w:r>
      <w:r w:rsidR="0116395D" w:rsidRPr="6CCF1721">
        <w:rPr>
          <w:rFonts w:ascii="Times New Roman" w:eastAsia="Times New Roman" w:hAnsi="Times New Roman" w:cs="Times New Roman"/>
        </w:rPr>
        <w:t>inkomst</w:t>
      </w:r>
      <w:r w:rsidR="183A10EE" w:rsidRPr="6CCF1721">
        <w:rPr>
          <w:rFonts w:ascii="Times New Roman" w:eastAsia="Times New Roman" w:hAnsi="Times New Roman" w:cs="Times New Roman"/>
        </w:rPr>
        <w:t xml:space="preserve">villkor, </w:t>
      </w:r>
      <w:r w:rsidR="4E8BB12B" w:rsidRPr="6CCF1721">
        <w:rPr>
          <w:rFonts w:ascii="Times New Roman" w:eastAsia="Times New Roman" w:hAnsi="Times New Roman" w:cs="Times New Roman"/>
        </w:rPr>
        <w:t xml:space="preserve">långsiktig ekonomisk hållbarhet i branschen samt effekter av överturism. </w:t>
      </w:r>
      <w:r w:rsidR="482C577F" w:rsidRPr="6CCF1721">
        <w:rPr>
          <w:rFonts w:ascii="Times New Roman" w:eastAsia="Times New Roman" w:hAnsi="Times New Roman" w:cs="Times New Roman"/>
        </w:rPr>
        <w:t xml:space="preserve">Att balansera dessa värden och säkerställa att besöksnäringen bidrar </w:t>
      </w:r>
      <w:r w:rsidR="75DFEAE3" w:rsidRPr="6CCF1721">
        <w:rPr>
          <w:rFonts w:ascii="Times New Roman" w:eastAsia="Times New Roman" w:hAnsi="Times New Roman" w:cs="Times New Roman"/>
        </w:rPr>
        <w:t xml:space="preserve">positivt </w:t>
      </w:r>
      <w:r w:rsidR="482C577F" w:rsidRPr="6CCF1721">
        <w:rPr>
          <w:rFonts w:ascii="Times New Roman" w:eastAsia="Times New Roman" w:hAnsi="Times New Roman" w:cs="Times New Roman"/>
        </w:rPr>
        <w:t>till lokalsamhället är heta ämnen samtidigt som även klimatfrågan är starkt dominerande</w:t>
      </w:r>
      <w:r w:rsidR="7AA3A906" w:rsidRPr="6CCF1721">
        <w:rPr>
          <w:rFonts w:ascii="Times New Roman" w:eastAsia="Times New Roman" w:hAnsi="Times New Roman" w:cs="Times New Roman"/>
        </w:rPr>
        <w:t xml:space="preserve"> i diskussionerna</w:t>
      </w:r>
      <w:r w:rsidR="096D68C7" w:rsidRPr="6CCF1721">
        <w:rPr>
          <w:rFonts w:ascii="Times New Roman" w:eastAsia="Times New Roman" w:hAnsi="Times New Roman" w:cs="Times New Roman"/>
        </w:rPr>
        <w:t xml:space="preserve">, särskilt efter det att IPCC presenterat sin klimatrapport under sommaren 2021 som </w:t>
      </w:r>
      <w:r w:rsidR="12E5DE5B" w:rsidRPr="6CCF1721">
        <w:rPr>
          <w:rFonts w:ascii="Times New Roman" w:eastAsia="Times New Roman" w:hAnsi="Times New Roman" w:cs="Times New Roman"/>
        </w:rPr>
        <w:t>understrykte</w:t>
      </w:r>
      <w:r w:rsidR="096D68C7" w:rsidRPr="6CCF1721">
        <w:rPr>
          <w:rFonts w:ascii="Times New Roman" w:eastAsia="Times New Roman" w:hAnsi="Times New Roman" w:cs="Times New Roman"/>
        </w:rPr>
        <w:t xml:space="preserve"> </w:t>
      </w:r>
      <w:r w:rsidR="4F0B1B4D" w:rsidRPr="6CCF1721">
        <w:rPr>
          <w:rFonts w:ascii="Times New Roman" w:eastAsia="Times New Roman" w:hAnsi="Times New Roman" w:cs="Times New Roman"/>
        </w:rPr>
        <w:t xml:space="preserve">klimatkrisens </w:t>
      </w:r>
      <w:r w:rsidR="096D68C7" w:rsidRPr="6CCF1721">
        <w:rPr>
          <w:rFonts w:ascii="Times New Roman" w:eastAsia="Times New Roman" w:hAnsi="Times New Roman" w:cs="Times New Roman"/>
        </w:rPr>
        <w:t>allvar</w:t>
      </w:r>
      <w:r w:rsidR="482C577F" w:rsidRPr="6CCF1721">
        <w:rPr>
          <w:rFonts w:ascii="Times New Roman" w:eastAsia="Times New Roman" w:hAnsi="Times New Roman" w:cs="Times New Roman"/>
        </w:rPr>
        <w:t xml:space="preserve">. Under </w:t>
      </w:r>
      <w:r w:rsidR="29335B41" w:rsidRPr="6CCF1721">
        <w:rPr>
          <w:rFonts w:ascii="Times New Roman" w:eastAsia="Times New Roman" w:hAnsi="Times New Roman" w:cs="Times New Roman"/>
        </w:rPr>
        <w:t>2020/2021 har givetvis även återhämtningen av besöksnäringen</w:t>
      </w:r>
      <w:r w:rsidR="126FE14D" w:rsidRPr="6CCF1721">
        <w:rPr>
          <w:rFonts w:ascii="Times New Roman" w:eastAsia="Times New Roman" w:hAnsi="Times New Roman" w:cs="Times New Roman"/>
        </w:rPr>
        <w:t xml:space="preserve"> från de omfattande konsekvenserna av coronapandemin</w:t>
      </w:r>
      <w:r w:rsidR="29335B41" w:rsidRPr="6CCF1721">
        <w:rPr>
          <w:rFonts w:ascii="Times New Roman" w:eastAsia="Times New Roman" w:hAnsi="Times New Roman" w:cs="Times New Roman"/>
        </w:rPr>
        <w:t xml:space="preserve"> varit högt upp på agendan. </w:t>
      </w:r>
      <w:r w:rsidR="6DE432D5" w:rsidRPr="6CCF1721">
        <w:rPr>
          <w:rFonts w:ascii="Times New Roman" w:eastAsia="Times New Roman" w:hAnsi="Times New Roman" w:cs="Times New Roman"/>
        </w:rPr>
        <w:t>Internationellt</w:t>
      </w:r>
      <w:r w:rsidR="30AB9DE6" w:rsidRPr="6CCF1721">
        <w:rPr>
          <w:rFonts w:ascii="Times New Roman" w:eastAsia="Times New Roman" w:hAnsi="Times New Roman" w:cs="Times New Roman"/>
        </w:rPr>
        <w:t xml:space="preserve"> </w:t>
      </w:r>
      <w:r w:rsidR="6DE432D5" w:rsidRPr="6CCF1721">
        <w:rPr>
          <w:rFonts w:ascii="Times New Roman" w:eastAsia="Times New Roman" w:hAnsi="Times New Roman" w:cs="Times New Roman"/>
        </w:rPr>
        <w:t xml:space="preserve">diskuteras </w:t>
      </w:r>
      <w:r w:rsidR="29ACCADE" w:rsidRPr="6CCF1721">
        <w:rPr>
          <w:rFonts w:ascii="Times New Roman" w:eastAsia="Times New Roman" w:hAnsi="Times New Roman" w:cs="Times New Roman"/>
        </w:rPr>
        <w:t xml:space="preserve">nya, mer nyanserade, </w:t>
      </w:r>
      <w:r w:rsidR="6DE432D5" w:rsidRPr="6CCF1721">
        <w:rPr>
          <w:rFonts w:ascii="Times New Roman" w:eastAsia="Times New Roman" w:hAnsi="Times New Roman" w:cs="Times New Roman"/>
        </w:rPr>
        <w:t xml:space="preserve">metoder </w:t>
      </w:r>
      <w:r w:rsidR="357EDBD1" w:rsidRPr="6CCF1721">
        <w:rPr>
          <w:rFonts w:ascii="Times New Roman" w:eastAsia="Times New Roman" w:hAnsi="Times New Roman" w:cs="Times New Roman"/>
        </w:rPr>
        <w:t xml:space="preserve">för </w:t>
      </w:r>
      <w:r w:rsidR="6DE432D5" w:rsidRPr="6CCF1721">
        <w:rPr>
          <w:rFonts w:ascii="Times New Roman" w:eastAsia="Times New Roman" w:hAnsi="Times New Roman" w:cs="Times New Roman"/>
        </w:rPr>
        <w:t>att utvärdera och mäta värde</w:t>
      </w:r>
      <w:r w:rsidR="7705333B" w:rsidRPr="6CCF1721">
        <w:rPr>
          <w:rFonts w:ascii="Times New Roman" w:eastAsia="Times New Roman" w:hAnsi="Times New Roman" w:cs="Times New Roman"/>
        </w:rPr>
        <w:t xml:space="preserve"> o</w:t>
      </w:r>
      <w:r w:rsidR="6DE432D5" w:rsidRPr="6CCF1721">
        <w:rPr>
          <w:rFonts w:ascii="Times New Roman" w:eastAsia="Times New Roman" w:hAnsi="Times New Roman" w:cs="Times New Roman"/>
        </w:rPr>
        <w:t>ch effekter av besöksnäringens utveckling och destinationers framgån</w:t>
      </w:r>
      <w:r w:rsidR="5D4AC4AA" w:rsidRPr="6CCF1721">
        <w:rPr>
          <w:rFonts w:ascii="Times New Roman" w:eastAsia="Times New Roman" w:hAnsi="Times New Roman" w:cs="Times New Roman"/>
        </w:rPr>
        <w:t>g u</w:t>
      </w:r>
      <w:r w:rsidR="6DE432D5" w:rsidRPr="6CCF1721">
        <w:rPr>
          <w:rFonts w:ascii="Times New Roman" w:eastAsia="Times New Roman" w:hAnsi="Times New Roman" w:cs="Times New Roman"/>
        </w:rPr>
        <w:t xml:space="preserve">tifrån kriterier för hållbarhet. </w:t>
      </w:r>
    </w:p>
    <w:p w14:paraId="1C5D8BA1" w14:textId="516FF25C" w:rsidR="458B65FA" w:rsidRDefault="4106E595" w:rsidP="00484A33">
      <w:pPr>
        <w:spacing w:line="276" w:lineRule="auto"/>
        <w:rPr>
          <w:rFonts w:ascii="Times New Roman" w:eastAsia="Times New Roman" w:hAnsi="Times New Roman" w:cs="Times New Roman"/>
          <w:color w:val="000000" w:themeColor="text1"/>
          <w:highlight w:val="yellow"/>
        </w:rPr>
      </w:pPr>
      <w:r w:rsidRPr="7D0353C0">
        <w:rPr>
          <w:rFonts w:ascii="Times New Roman" w:eastAsia="Times New Roman" w:hAnsi="Times New Roman" w:cs="Times New Roman"/>
        </w:rPr>
        <w:t xml:space="preserve">FN:s globala hållbarhetsmål växer som ett betydelsefullt gemensamt ramverk för att uppnå ett långsiktigt hållbart samhälle, både på global och lokal nivå. I de 17 mål som utgör Agenda 2030 integreras de tre hållbarhetsdimensionerna. Målen är odelbara och på olika sätt beroende av, och direkt kopplade till, varandra. Det innebär att de kan påverka, förstärka eller stå i konflikt med varandra.  </w:t>
      </w:r>
      <w:r w:rsidR="68526DD5" w:rsidRPr="7D0353C0">
        <w:rPr>
          <w:rFonts w:ascii="Times New Roman" w:eastAsia="Times New Roman" w:hAnsi="Times New Roman" w:cs="Times New Roman"/>
        </w:rPr>
        <w:t xml:space="preserve">Göteborgs Stads arbete med hållbar utveckling och Agenda 2030 bygger på ett aktivt deltagande från såväl näringsliv som offentlig verksamhet för att gemensamt nå de lokala och globala mål som är kopplade till de tre hållbarhetsdimensionerna; social, ekonomisk och ekologisk. </w:t>
      </w:r>
    </w:p>
    <w:p w14:paraId="4BC63A2C" w14:textId="441E25DA" w:rsidR="47E8720C" w:rsidRDefault="4B89CFDE" w:rsidP="00484A33">
      <w:pPr>
        <w:spacing w:line="276" w:lineRule="auto"/>
        <w:rPr>
          <w:rFonts w:ascii="Times New Roman" w:eastAsia="Times New Roman" w:hAnsi="Times New Roman" w:cs="Times New Roman"/>
        </w:rPr>
      </w:pPr>
      <w:r w:rsidRPr="00364CE3">
        <w:rPr>
          <w:rFonts w:ascii="Times New Roman" w:eastAsia="Times New Roman" w:hAnsi="Times New Roman" w:cs="Times New Roman"/>
          <w:b/>
          <w:bCs/>
        </w:rPr>
        <w:t>Global Destination Sustainability Index</w:t>
      </w:r>
      <w:r w:rsidR="4EAB3FD2">
        <w:br/>
      </w:r>
      <w:r w:rsidR="280B3F63" w:rsidRPr="4E746557">
        <w:rPr>
          <w:rFonts w:ascii="Times New Roman" w:eastAsia="Times New Roman" w:hAnsi="Times New Roman" w:cs="Times New Roman"/>
        </w:rPr>
        <w:t>Global Destination Sustainability Index (GDSI) är ett internationell</w:t>
      </w:r>
      <w:r w:rsidR="0E7739DB" w:rsidRPr="4E746557">
        <w:rPr>
          <w:rFonts w:ascii="Times New Roman" w:eastAsia="Times New Roman" w:hAnsi="Times New Roman" w:cs="Times New Roman"/>
        </w:rPr>
        <w:t xml:space="preserve">t </w:t>
      </w:r>
      <w:r w:rsidR="280B3F63" w:rsidRPr="4E746557">
        <w:rPr>
          <w:rFonts w:ascii="Times New Roman" w:eastAsia="Times New Roman" w:hAnsi="Times New Roman" w:cs="Times New Roman"/>
        </w:rPr>
        <w:t xml:space="preserve">benchmarkingsystem som rankar destinationers hållbarhetsprestanda. Indexet utvecklas och hanteras av organisationen Global Destination Sustainability Movement, som är uppbackat av etablerade internationella besöksnäringsorganisationer såsom International Congress and Convention Association (ICCA) och European Cities Marketing (ECM). Syftet med GDSI är att bidra till och säkerställa att städer och regioner blir mer regenerativa, robusta och välmående platser att besöka, leva och verka i. Idén om ett index föddes på ett branschmöte i Göteborg 2010 och 2016 lanserades GDSI i Skandinavien. Idag använder </w:t>
      </w:r>
      <w:r w:rsidR="4A4CA19E" w:rsidRPr="4E746557">
        <w:rPr>
          <w:rFonts w:ascii="Times New Roman" w:eastAsia="Times New Roman" w:hAnsi="Times New Roman" w:cs="Times New Roman"/>
        </w:rPr>
        <w:t>drygt</w:t>
      </w:r>
      <w:r w:rsidR="280B3F63" w:rsidRPr="4E746557">
        <w:rPr>
          <w:rFonts w:ascii="Times New Roman" w:eastAsia="Times New Roman" w:hAnsi="Times New Roman" w:cs="Times New Roman"/>
        </w:rPr>
        <w:t xml:space="preserve"> 70 destinationer från alla kontinenter ramverket för hållbar destinationsutveckling. Indexet har även integrerat FN:s globala mål för hållbar utveckling i ramverket.</w:t>
      </w:r>
    </w:p>
    <w:p w14:paraId="054B8BD3" w14:textId="06192A86" w:rsidR="2D45ABF1" w:rsidRDefault="47E8720C" w:rsidP="00484A33">
      <w:pPr>
        <w:spacing w:line="276" w:lineRule="auto"/>
        <w:rPr>
          <w:rFonts w:ascii="Times New Roman" w:eastAsia="Times New Roman" w:hAnsi="Times New Roman" w:cs="Times New Roman"/>
        </w:rPr>
      </w:pPr>
      <w:r w:rsidRPr="7D0353C0">
        <w:rPr>
          <w:rFonts w:ascii="Times New Roman" w:eastAsia="Times New Roman" w:hAnsi="Times New Roman" w:cs="Times New Roman"/>
        </w:rPr>
        <w:t>Destinationens och besöksnäringens utveckling samspelar med stadens utveckling och insatser. Ur ett hållbart destinationsperspektiv är GDSI därför ett relevant verktyg som både förutsätter och speglar denna samverkan i de fyra områden som mäts:</w:t>
      </w:r>
    </w:p>
    <w:p w14:paraId="4D7162DA" w14:textId="4F1072E1" w:rsidR="47E8720C" w:rsidRDefault="47E8720C" w:rsidP="00484A33">
      <w:pPr>
        <w:pStyle w:val="Liststycke"/>
        <w:numPr>
          <w:ilvl w:val="0"/>
          <w:numId w:val="17"/>
        </w:numPr>
        <w:spacing w:beforeAutospacing="1" w:afterAutospacing="1" w:line="276" w:lineRule="auto"/>
        <w:rPr>
          <w:rFonts w:eastAsiaTheme="minorEastAsia"/>
          <w:color w:val="000000" w:themeColor="text1"/>
        </w:rPr>
      </w:pPr>
      <w:r w:rsidRPr="2D45ABF1">
        <w:rPr>
          <w:rStyle w:val="normaltextrun"/>
          <w:rFonts w:ascii="Times New Roman" w:eastAsia="Times New Roman" w:hAnsi="Times New Roman" w:cs="Times New Roman"/>
          <w:color w:val="000000" w:themeColor="text1"/>
        </w:rPr>
        <w:lastRenderedPageBreak/>
        <w:t>stadens miljömässiga hållbarhet</w:t>
      </w:r>
    </w:p>
    <w:p w14:paraId="269BD13F" w14:textId="41C331E9" w:rsidR="47E8720C" w:rsidRDefault="47E8720C" w:rsidP="00484A33">
      <w:pPr>
        <w:pStyle w:val="Liststycke"/>
        <w:numPr>
          <w:ilvl w:val="0"/>
          <w:numId w:val="17"/>
        </w:numPr>
        <w:spacing w:beforeAutospacing="1" w:afterAutospacing="1" w:line="276" w:lineRule="auto"/>
        <w:rPr>
          <w:rFonts w:eastAsiaTheme="minorEastAsia"/>
          <w:color w:val="000000" w:themeColor="text1"/>
        </w:rPr>
      </w:pPr>
      <w:r w:rsidRPr="2D45ABF1">
        <w:rPr>
          <w:rStyle w:val="normaltextrun"/>
          <w:rFonts w:ascii="Times New Roman" w:eastAsia="Times New Roman" w:hAnsi="Times New Roman" w:cs="Times New Roman"/>
          <w:color w:val="000000" w:themeColor="text1"/>
        </w:rPr>
        <w:t>stadens sociala hållbarhet</w:t>
      </w:r>
    </w:p>
    <w:p w14:paraId="458E7AE1" w14:textId="16A3FB80" w:rsidR="47E8720C" w:rsidRDefault="47E8720C" w:rsidP="00484A33">
      <w:pPr>
        <w:pStyle w:val="Liststycke"/>
        <w:numPr>
          <w:ilvl w:val="0"/>
          <w:numId w:val="17"/>
        </w:numPr>
        <w:spacing w:beforeAutospacing="1" w:afterAutospacing="1" w:line="276" w:lineRule="auto"/>
        <w:rPr>
          <w:rFonts w:eastAsiaTheme="minorEastAsia"/>
          <w:color w:val="000000" w:themeColor="text1"/>
        </w:rPr>
      </w:pPr>
      <w:r w:rsidRPr="2D45ABF1">
        <w:rPr>
          <w:rStyle w:val="normaltextrun"/>
          <w:rFonts w:ascii="Times New Roman" w:eastAsia="Times New Roman" w:hAnsi="Times New Roman" w:cs="Times New Roman"/>
          <w:color w:val="000000" w:themeColor="text1"/>
        </w:rPr>
        <w:t>besöksnäringens aktörers hållbarhet</w:t>
      </w:r>
    </w:p>
    <w:p w14:paraId="68A24408" w14:textId="1E7EDB14" w:rsidR="47E8720C" w:rsidRDefault="47E8720C" w:rsidP="00484A33">
      <w:pPr>
        <w:pStyle w:val="Liststycke"/>
        <w:numPr>
          <w:ilvl w:val="0"/>
          <w:numId w:val="17"/>
        </w:numPr>
        <w:spacing w:beforeAutospacing="1" w:afterAutospacing="1" w:line="276" w:lineRule="auto"/>
        <w:rPr>
          <w:rFonts w:eastAsiaTheme="minorEastAsia"/>
          <w:color w:val="000000" w:themeColor="text1"/>
        </w:rPr>
      </w:pPr>
      <w:r w:rsidRPr="2D45ABF1">
        <w:rPr>
          <w:rStyle w:val="normaltextrun"/>
          <w:rFonts w:ascii="Times New Roman" w:eastAsia="Times New Roman" w:hAnsi="Times New Roman" w:cs="Times New Roman"/>
          <w:color w:val="000000" w:themeColor="text1"/>
        </w:rPr>
        <w:t>ledning, styrning och utveckling av destinationen</w:t>
      </w:r>
    </w:p>
    <w:p w14:paraId="5B9746BE" w14:textId="416743E3" w:rsidR="2D45ABF1" w:rsidRDefault="47E8720C" w:rsidP="00484A33">
      <w:pPr>
        <w:spacing w:line="276" w:lineRule="auto"/>
        <w:rPr>
          <w:rFonts w:ascii="Times New Roman" w:eastAsia="Times New Roman" w:hAnsi="Times New Roman" w:cs="Times New Roman"/>
        </w:rPr>
      </w:pPr>
      <w:r w:rsidRPr="7D0353C0">
        <w:rPr>
          <w:rFonts w:ascii="Times New Roman" w:eastAsia="Times New Roman" w:hAnsi="Times New Roman" w:cs="Times New Roman"/>
        </w:rPr>
        <w:t>Indexet, som revideras regelbundet, pekar på väsentliga områden och insatser och blir på så sätt även ett utvecklingsverktyg. Att använda ramverket för destinationsutveckling ska gynna hela det lokala turismekosystemet; från besökare, till invånare, till leverantörer och lokala myndigheter och bygger på samverkan mellan destinationens aktörer för att skapa mätbar förbättring och en robust destination. Ramverket omfamnar även besöksnäringens möjligheter till att bidra till övrigt näringsliv liksom samverkan för att skapa långsiktigt positiva samhällseffekter.</w:t>
      </w:r>
    </w:p>
    <w:p w14:paraId="011BDA9E" w14:textId="471D7D1F" w:rsidR="47E8720C" w:rsidRDefault="47E8720C" w:rsidP="00484A33">
      <w:pPr>
        <w:spacing w:line="276" w:lineRule="auto"/>
        <w:rPr>
          <w:rFonts w:ascii="Times New Roman" w:eastAsia="Times New Roman" w:hAnsi="Times New Roman" w:cs="Times New Roman"/>
        </w:rPr>
      </w:pPr>
      <w:r w:rsidRPr="7D0353C0">
        <w:rPr>
          <w:rFonts w:ascii="Times New Roman" w:eastAsia="Times New Roman" w:hAnsi="Times New Roman" w:cs="Times New Roman"/>
        </w:rPr>
        <w:t xml:space="preserve">Förutom samverkan på destinationen, skapar ramverket förutsättningar för att stödja och driva på aktörernas eget hållbarhetsarbete. GDSI ger också möjligheter till att synliggöra destinationen och goda exempel och lösningar i ett internationellt perspektiv. </w:t>
      </w:r>
    </w:p>
    <w:p w14:paraId="0FDF0861" w14:textId="53A14F1B" w:rsidR="2D45ABF1" w:rsidRDefault="47E8720C" w:rsidP="00484A33">
      <w:pPr>
        <w:spacing w:line="276" w:lineRule="auto"/>
        <w:rPr>
          <w:rFonts w:ascii="Times New Roman" w:eastAsia="Times New Roman" w:hAnsi="Times New Roman" w:cs="Times New Roman"/>
          <w:color w:val="000000" w:themeColor="text1"/>
          <w:sz w:val="24"/>
          <w:szCs w:val="24"/>
        </w:rPr>
      </w:pPr>
      <w:r w:rsidRPr="7D0353C0">
        <w:rPr>
          <w:rFonts w:ascii="Times New Roman" w:eastAsia="Times New Roman" w:hAnsi="Times New Roman" w:cs="Times New Roman"/>
        </w:rPr>
        <w:t>Indexet blir allt viktigare i den internationella konkurrensen om möten, kongresser och evenemang liksom ur ett positionerings- och marknadsföringsperspektiv. Som relativt liten destination i världen stärker en bra placering i indexet destinationens konkurrenskraft.</w:t>
      </w:r>
    </w:p>
    <w:p w14:paraId="60119374" w14:textId="5987FB5C" w:rsidR="2D45ABF1" w:rsidRDefault="47E8720C" w:rsidP="00484A33">
      <w:pPr>
        <w:spacing w:line="276" w:lineRule="auto"/>
        <w:rPr>
          <w:rFonts w:ascii="Calibri" w:eastAsia="Calibri" w:hAnsi="Calibri" w:cs="Calibri"/>
          <w:color w:val="000000" w:themeColor="text1"/>
        </w:rPr>
      </w:pPr>
      <w:r>
        <w:rPr>
          <w:noProof/>
          <w:color w:val="2B579A"/>
          <w:shd w:val="clear" w:color="auto" w:fill="E6E6E6"/>
        </w:rPr>
        <w:drawing>
          <wp:inline distT="0" distB="0" distL="0" distR="0" wp14:anchorId="1A2211DB" wp14:editId="575998BC">
            <wp:extent cx="5724524" cy="3219450"/>
            <wp:effectExtent l="0" t="0" r="0" b="0"/>
            <wp:docPr id="1064132245" name="Bildobjekt 106413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724524" cy="3219450"/>
                    </a:xfrm>
                    <a:prstGeom prst="rect">
                      <a:avLst/>
                    </a:prstGeom>
                  </pic:spPr>
                </pic:pic>
              </a:graphicData>
            </a:graphic>
          </wp:inline>
        </w:drawing>
      </w:r>
    </w:p>
    <w:p w14:paraId="62F87444" w14:textId="084B59C9" w:rsidR="7D0353C0" w:rsidRDefault="7D0353C0" w:rsidP="00484A33">
      <w:pPr>
        <w:spacing w:line="276" w:lineRule="auto"/>
        <w:rPr>
          <w:rFonts w:ascii="Times New Roman" w:eastAsia="Times New Roman" w:hAnsi="Times New Roman" w:cs="Times New Roman"/>
          <w:b/>
          <w:bCs/>
        </w:rPr>
      </w:pPr>
    </w:p>
    <w:p w14:paraId="75074199" w14:textId="1EF453E2" w:rsidR="00F97269" w:rsidRDefault="005E0421" w:rsidP="00364CE3">
      <w:pPr>
        <w:spacing w:after="0" w:line="276" w:lineRule="auto"/>
        <w:rPr>
          <w:rFonts w:ascii="Times New Roman" w:eastAsia="Times New Roman" w:hAnsi="Times New Roman" w:cs="Times New Roman"/>
          <w:b/>
          <w:bCs/>
          <w:color w:val="000000" w:themeColor="text1"/>
        </w:rPr>
      </w:pPr>
      <w:r w:rsidRPr="2D45ABF1">
        <w:rPr>
          <w:rFonts w:ascii="Times New Roman" w:eastAsia="Times New Roman" w:hAnsi="Times New Roman" w:cs="Times New Roman"/>
          <w:b/>
          <w:bCs/>
        </w:rPr>
        <w:t xml:space="preserve">Konsumenters och företags hållbarhetsengagemang </w:t>
      </w:r>
    </w:p>
    <w:p w14:paraId="72D7E407" w14:textId="6DED58DA" w:rsidR="4A5B160B" w:rsidRDefault="0A83CB59" w:rsidP="00484A33">
      <w:pPr>
        <w:spacing w:line="276" w:lineRule="auto"/>
        <w:rPr>
          <w:rFonts w:ascii="Times New Roman" w:eastAsia="Times New Roman" w:hAnsi="Times New Roman" w:cs="Times New Roman"/>
        </w:rPr>
      </w:pPr>
      <w:r w:rsidRPr="6CCF1721">
        <w:rPr>
          <w:rFonts w:ascii="Times New Roman" w:eastAsia="Times New Roman" w:hAnsi="Times New Roman" w:cs="Times New Roman"/>
        </w:rPr>
        <w:t>Ett ökat fokus på hållbarhet</w:t>
      </w:r>
      <w:r w:rsidR="2DD1AA31" w:rsidRPr="6CCF1721">
        <w:rPr>
          <w:rFonts w:ascii="Times New Roman" w:eastAsia="Times New Roman" w:hAnsi="Times New Roman" w:cs="Times New Roman"/>
        </w:rPr>
        <w:t xml:space="preserve"> påverkar </w:t>
      </w:r>
      <w:r w:rsidRPr="6CCF1721">
        <w:rPr>
          <w:rFonts w:ascii="Times New Roman" w:eastAsia="Times New Roman" w:hAnsi="Times New Roman" w:cs="Times New Roman"/>
        </w:rPr>
        <w:t>konsumenters beteenden och efterfråg</w:t>
      </w:r>
      <w:r w:rsidR="2629CBC3" w:rsidRPr="6CCF1721">
        <w:rPr>
          <w:rFonts w:ascii="Times New Roman" w:eastAsia="Times New Roman" w:hAnsi="Times New Roman" w:cs="Times New Roman"/>
        </w:rPr>
        <w:t>a</w:t>
      </w:r>
      <w:r w:rsidRPr="6CCF1721">
        <w:rPr>
          <w:rFonts w:ascii="Times New Roman" w:eastAsia="Times New Roman" w:hAnsi="Times New Roman" w:cs="Times New Roman"/>
        </w:rPr>
        <w:t>n i</w:t>
      </w:r>
      <w:r w:rsidR="46E2C975" w:rsidRPr="6CCF1721">
        <w:rPr>
          <w:rFonts w:ascii="Times New Roman" w:eastAsia="Times New Roman" w:hAnsi="Times New Roman" w:cs="Times New Roman"/>
        </w:rPr>
        <w:t xml:space="preserve"> </w:t>
      </w:r>
      <w:r w:rsidRPr="6CCF1721">
        <w:rPr>
          <w:rFonts w:ascii="Times New Roman" w:eastAsia="Times New Roman" w:hAnsi="Times New Roman" w:cs="Times New Roman"/>
        </w:rPr>
        <w:t xml:space="preserve">besöksnäringen. </w:t>
      </w:r>
      <w:r w:rsidR="34550F87" w:rsidRPr="6CCF1721">
        <w:rPr>
          <w:rFonts w:ascii="Times New Roman" w:eastAsia="Times New Roman" w:hAnsi="Times New Roman" w:cs="Times New Roman"/>
        </w:rPr>
        <w:t xml:space="preserve">Människors ökade medvetenhet kring den egna konsumtionens klimatavtryck kan komma att leda till färre långväga resor, vilket öppnar för ökad konsumtion av upplevelser på nära håll. Medvetenheten leder också till konsumenters ökade förväntningar på hållbara alternativ gällande exempelvis boende, transport och hållbara upplevelser, sett ur alla tre hållbarhetsdimensioner. </w:t>
      </w:r>
    </w:p>
    <w:p w14:paraId="60D65645" w14:textId="42EAA1B0" w:rsidR="6FE64F11" w:rsidRDefault="4E7A088F" w:rsidP="00484A33">
      <w:pPr>
        <w:spacing w:line="276" w:lineRule="auto"/>
        <w:rPr>
          <w:rFonts w:ascii="Times New Roman" w:eastAsia="Times New Roman" w:hAnsi="Times New Roman" w:cs="Times New Roman"/>
        </w:rPr>
      </w:pPr>
      <w:r w:rsidRPr="1E318009">
        <w:rPr>
          <w:rFonts w:ascii="Times New Roman" w:eastAsia="Times New Roman" w:hAnsi="Times New Roman" w:cs="Times New Roman"/>
        </w:rPr>
        <w:t>Samtidigt som konsumenters efterfrågan på hållbara produkter och upplevelser ökar, så ökar även behovet av hållbara investeringar</w:t>
      </w:r>
      <w:r w:rsidR="0624E553" w:rsidRPr="1E318009">
        <w:rPr>
          <w:rFonts w:ascii="Times New Roman" w:eastAsia="Times New Roman" w:hAnsi="Times New Roman" w:cs="Times New Roman"/>
        </w:rPr>
        <w:t xml:space="preserve"> för at</w:t>
      </w:r>
      <w:r w:rsidR="20B032EE" w:rsidRPr="1E318009">
        <w:rPr>
          <w:rFonts w:ascii="Times New Roman" w:eastAsia="Times New Roman" w:hAnsi="Times New Roman" w:cs="Times New Roman"/>
        </w:rPr>
        <w:t>t</w:t>
      </w:r>
      <w:r w:rsidR="0624E553" w:rsidRPr="1E318009">
        <w:rPr>
          <w:rFonts w:ascii="Times New Roman" w:eastAsia="Times New Roman" w:hAnsi="Times New Roman" w:cs="Times New Roman"/>
        </w:rPr>
        <w:t xml:space="preserve"> möta efterfrågan</w:t>
      </w:r>
      <w:r w:rsidRPr="1E318009">
        <w:rPr>
          <w:rFonts w:ascii="Times New Roman" w:eastAsia="Times New Roman" w:hAnsi="Times New Roman" w:cs="Times New Roman"/>
        </w:rPr>
        <w:t>.</w:t>
      </w:r>
      <w:r w:rsidR="290E81D2" w:rsidRPr="1E318009">
        <w:rPr>
          <w:rFonts w:ascii="Times New Roman" w:eastAsia="Times New Roman" w:hAnsi="Times New Roman" w:cs="Times New Roman"/>
        </w:rPr>
        <w:t xml:space="preserve"> </w:t>
      </w:r>
      <w:r w:rsidR="255D8BFA" w:rsidRPr="1E318009">
        <w:rPr>
          <w:rFonts w:ascii="Times New Roman" w:eastAsia="Times New Roman" w:hAnsi="Times New Roman" w:cs="Times New Roman"/>
        </w:rPr>
        <w:t xml:space="preserve">Näringsidkare förväntas i större utsträckning än tidigare agera hållbart för att kunna locka till sig investeringar och även för att vara </w:t>
      </w:r>
      <w:r w:rsidR="255D8BFA" w:rsidRPr="1E318009">
        <w:rPr>
          <w:rFonts w:ascii="Times New Roman" w:eastAsia="Times New Roman" w:hAnsi="Times New Roman" w:cs="Times New Roman"/>
        </w:rPr>
        <w:lastRenderedPageBreak/>
        <w:t xml:space="preserve">attraktiva som arbetsgivare. </w:t>
      </w:r>
      <w:r w:rsidR="3988CD6D" w:rsidRPr="1E318009">
        <w:rPr>
          <w:rFonts w:ascii="Times New Roman" w:eastAsia="Times New Roman" w:hAnsi="Times New Roman" w:cs="Times New Roman"/>
        </w:rPr>
        <w:t>Att satsa på hållbarhet är numera en självklarhet för många företag, myndigheter och organisationer</w:t>
      </w:r>
      <w:r w:rsidR="13CC7381" w:rsidRPr="1E318009">
        <w:rPr>
          <w:rFonts w:ascii="Times New Roman" w:eastAsia="Times New Roman" w:hAnsi="Times New Roman" w:cs="Times New Roman"/>
        </w:rPr>
        <w:t xml:space="preserve">. </w:t>
      </w:r>
      <w:r w:rsidR="2AF61B38" w:rsidRPr="1E318009">
        <w:rPr>
          <w:rFonts w:ascii="Times New Roman" w:eastAsia="Times New Roman" w:hAnsi="Times New Roman" w:cs="Times New Roman"/>
        </w:rPr>
        <w:t>Detta dels på grund av ökade lagkrav men även till stor del på grund av att det av många anses vara en av vår tids stora frågor som engagerar och berö</w:t>
      </w:r>
      <w:r w:rsidR="3183639E" w:rsidRPr="1E318009">
        <w:rPr>
          <w:rFonts w:ascii="Times New Roman" w:eastAsia="Times New Roman" w:hAnsi="Times New Roman" w:cs="Times New Roman"/>
        </w:rPr>
        <w:t>r. En studie från Tele2/Kantar Sifo (2021) visar att 8 av 10 beslutsfattare på svenska företag anser att hållbarhet är kritiskt för verksamheten och hela 9 av 10 uppger att de inom sitt bolag har en högre ambitionsnivå än vad lagen kräver</w:t>
      </w:r>
      <w:r w:rsidR="1E3210E3" w:rsidRPr="1E318009">
        <w:rPr>
          <w:rFonts w:ascii="Times New Roman" w:eastAsia="Times New Roman" w:hAnsi="Times New Roman" w:cs="Times New Roman"/>
        </w:rPr>
        <w:t>.</w:t>
      </w:r>
      <w:r w:rsidR="3183639E" w:rsidRPr="1E318009">
        <w:rPr>
          <w:rFonts w:ascii="Times New Roman" w:eastAsia="Times New Roman" w:hAnsi="Times New Roman" w:cs="Times New Roman"/>
        </w:rPr>
        <w:t xml:space="preserve"> Det ställer </w:t>
      </w:r>
      <w:r w:rsidR="395661BA" w:rsidRPr="1E318009">
        <w:rPr>
          <w:rFonts w:ascii="Times New Roman" w:eastAsia="Times New Roman" w:hAnsi="Times New Roman" w:cs="Times New Roman"/>
        </w:rPr>
        <w:t xml:space="preserve">stora </w:t>
      </w:r>
      <w:r w:rsidR="3183639E" w:rsidRPr="1E318009">
        <w:rPr>
          <w:rFonts w:ascii="Times New Roman" w:eastAsia="Times New Roman" w:hAnsi="Times New Roman" w:cs="Times New Roman"/>
        </w:rPr>
        <w:t xml:space="preserve">krav på efterlevnad </w:t>
      </w:r>
      <w:r w:rsidR="6ED581EB" w:rsidRPr="1E318009">
        <w:rPr>
          <w:rFonts w:ascii="Times New Roman" w:eastAsia="Times New Roman" w:hAnsi="Times New Roman" w:cs="Times New Roman"/>
        </w:rPr>
        <w:t xml:space="preserve">och uppfyllande </w:t>
      </w:r>
      <w:r w:rsidR="3183639E" w:rsidRPr="1E318009">
        <w:rPr>
          <w:rFonts w:ascii="Times New Roman" w:eastAsia="Times New Roman" w:hAnsi="Times New Roman" w:cs="Times New Roman"/>
        </w:rPr>
        <w:t>av interna</w:t>
      </w:r>
      <w:r w:rsidR="5AE09E05" w:rsidRPr="1E318009">
        <w:rPr>
          <w:rFonts w:ascii="Times New Roman" w:eastAsia="Times New Roman" w:hAnsi="Times New Roman" w:cs="Times New Roman"/>
        </w:rPr>
        <w:t xml:space="preserve"> hållbarhetsstrategier och</w:t>
      </w:r>
      <w:r w:rsidR="3183639E" w:rsidRPr="1E318009">
        <w:rPr>
          <w:rFonts w:ascii="Times New Roman" w:eastAsia="Times New Roman" w:hAnsi="Times New Roman" w:cs="Times New Roman"/>
        </w:rPr>
        <w:t xml:space="preserve"> policydokument gällande </w:t>
      </w:r>
      <w:r w:rsidR="005F2DB0" w:rsidRPr="1E318009">
        <w:rPr>
          <w:rFonts w:ascii="Times New Roman" w:eastAsia="Times New Roman" w:hAnsi="Times New Roman" w:cs="Times New Roman"/>
        </w:rPr>
        <w:t>till exempel</w:t>
      </w:r>
      <w:r w:rsidR="3183639E" w:rsidRPr="1E318009">
        <w:rPr>
          <w:rFonts w:ascii="Times New Roman" w:eastAsia="Times New Roman" w:hAnsi="Times New Roman" w:cs="Times New Roman"/>
        </w:rPr>
        <w:t xml:space="preserve"> jämlikhet, </w:t>
      </w:r>
      <w:r w:rsidR="0E8EC436" w:rsidRPr="1E318009">
        <w:rPr>
          <w:rFonts w:ascii="Times New Roman" w:eastAsia="Times New Roman" w:hAnsi="Times New Roman" w:cs="Times New Roman"/>
        </w:rPr>
        <w:t>utsläpp, resursanvändning</w:t>
      </w:r>
      <w:r w:rsidR="3183639E" w:rsidRPr="1E318009">
        <w:rPr>
          <w:rFonts w:ascii="Times New Roman" w:eastAsia="Times New Roman" w:hAnsi="Times New Roman" w:cs="Times New Roman"/>
        </w:rPr>
        <w:t xml:space="preserve">, tjänsteresor, </w:t>
      </w:r>
      <w:r w:rsidR="005F2DB0" w:rsidRPr="1E318009">
        <w:rPr>
          <w:rFonts w:ascii="Times New Roman" w:eastAsia="Times New Roman" w:hAnsi="Times New Roman" w:cs="Times New Roman"/>
        </w:rPr>
        <w:t>med mera</w:t>
      </w:r>
      <w:r w:rsidR="50B60BD9" w:rsidRPr="1E318009">
        <w:rPr>
          <w:rFonts w:ascii="Times New Roman" w:eastAsia="Times New Roman" w:hAnsi="Times New Roman" w:cs="Times New Roman"/>
        </w:rPr>
        <w:t>.</w:t>
      </w:r>
    </w:p>
    <w:p w14:paraId="15C7F01D" w14:textId="3E328699" w:rsidR="00F97269" w:rsidRDefault="060278F9" w:rsidP="00484A33">
      <w:pPr>
        <w:spacing w:line="276" w:lineRule="auto"/>
        <w:rPr>
          <w:rFonts w:ascii="Times New Roman" w:eastAsia="Times New Roman" w:hAnsi="Times New Roman" w:cs="Times New Roman"/>
          <w:color w:val="000000" w:themeColor="text1"/>
        </w:rPr>
      </w:pPr>
      <w:r w:rsidRPr="1E318009">
        <w:rPr>
          <w:rFonts w:ascii="Times New Roman" w:eastAsia="Times New Roman" w:hAnsi="Times New Roman" w:cs="Times New Roman"/>
        </w:rPr>
        <w:t xml:space="preserve">Det globala flygresandet </w:t>
      </w:r>
      <w:r w:rsidR="10DEE27D" w:rsidRPr="1E318009">
        <w:rPr>
          <w:rFonts w:ascii="Times New Roman" w:eastAsia="Times New Roman" w:hAnsi="Times New Roman" w:cs="Times New Roman"/>
        </w:rPr>
        <w:t xml:space="preserve">minskade kraftigt under 2020 till följd av </w:t>
      </w:r>
      <w:r w:rsidR="71EA35B2" w:rsidRPr="1E318009">
        <w:rPr>
          <w:rFonts w:ascii="Times New Roman" w:eastAsia="Times New Roman" w:hAnsi="Times New Roman" w:cs="Times New Roman"/>
        </w:rPr>
        <w:t>corona</w:t>
      </w:r>
      <w:r w:rsidR="10DEE27D" w:rsidRPr="1E318009">
        <w:rPr>
          <w:rFonts w:ascii="Times New Roman" w:eastAsia="Times New Roman" w:hAnsi="Times New Roman" w:cs="Times New Roman"/>
        </w:rPr>
        <w:t>pandemin och de reserestriktioner som infördes.</w:t>
      </w:r>
      <w:r w:rsidRPr="1E318009">
        <w:rPr>
          <w:rFonts w:ascii="Times New Roman" w:eastAsia="Times New Roman" w:hAnsi="Times New Roman" w:cs="Times New Roman"/>
        </w:rPr>
        <w:t xml:space="preserve"> Det väntas dröja innan </w:t>
      </w:r>
      <w:r w:rsidR="3BB04E26" w:rsidRPr="1E318009">
        <w:rPr>
          <w:rFonts w:ascii="Times New Roman" w:eastAsia="Times New Roman" w:hAnsi="Times New Roman" w:cs="Times New Roman"/>
        </w:rPr>
        <w:t>flyg</w:t>
      </w:r>
      <w:r w:rsidR="0FAC317B" w:rsidRPr="1E318009">
        <w:rPr>
          <w:rFonts w:ascii="Times New Roman" w:eastAsia="Times New Roman" w:hAnsi="Times New Roman" w:cs="Times New Roman"/>
        </w:rPr>
        <w:t>andet</w:t>
      </w:r>
      <w:r w:rsidRPr="1E318009">
        <w:rPr>
          <w:rFonts w:ascii="Times New Roman" w:eastAsia="Times New Roman" w:hAnsi="Times New Roman" w:cs="Times New Roman"/>
        </w:rPr>
        <w:t xml:space="preserve"> kan vara uppe på samma nivåer som före </w:t>
      </w:r>
      <w:r w:rsidR="4FEBE545" w:rsidRPr="1E318009">
        <w:rPr>
          <w:rFonts w:ascii="Times New Roman" w:eastAsia="Times New Roman" w:hAnsi="Times New Roman" w:cs="Times New Roman"/>
        </w:rPr>
        <w:t>corona</w:t>
      </w:r>
      <w:r w:rsidRPr="1E318009">
        <w:rPr>
          <w:rFonts w:ascii="Times New Roman" w:eastAsia="Times New Roman" w:hAnsi="Times New Roman" w:cs="Times New Roman"/>
        </w:rPr>
        <w:t>pandemin</w:t>
      </w:r>
      <w:r w:rsidR="2930269D" w:rsidRPr="1E318009">
        <w:rPr>
          <w:rFonts w:ascii="Times New Roman" w:eastAsia="Times New Roman" w:hAnsi="Times New Roman" w:cs="Times New Roman"/>
        </w:rPr>
        <w:t xml:space="preserve"> då flera flygbolag fortfarande </w:t>
      </w:r>
      <w:r w:rsidR="22A5BE14" w:rsidRPr="1E318009">
        <w:rPr>
          <w:rFonts w:ascii="Times New Roman" w:eastAsia="Times New Roman" w:hAnsi="Times New Roman" w:cs="Times New Roman"/>
        </w:rPr>
        <w:t xml:space="preserve">har </w:t>
      </w:r>
      <w:r w:rsidR="2930269D" w:rsidRPr="1E318009">
        <w:rPr>
          <w:rFonts w:ascii="Times New Roman" w:eastAsia="Times New Roman" w:hAnsi="Times New Roman" w:cs="Times New Roman"/>
        </w:rPr>
        <w:t>begränsat antalet avgångar och rutter jämfört med hur det såg ut</w:t>
      </w:r>
      <w:r w:rsidR="03606702" w:rsidRPr="1E318009">
        <w:rPr>
          <w:rFonts w:ascii="Times New Roman" w:eastAsia="Times New Roman" w:hAnsi="Times New Roman" w:cs="Times New Roman"/>
        </w:rPr>
        <w:t xml:space="preserve"> </w:t>
      </w:r>
      <w:r w:rsidR="2930269D" w:rsidRPr="1E318009">
        <w:rPr>
          <w:rFonts w:ascii="Times New Roman" w:eastAsia="Times New Roman" w:hAnsi="Times New Roman" w:cs="Times New Roman"/>
        </w:rPr>
        <w:t xml:space="preserve">innan. </w:t>
      </w:r>
      <w:r w:rsidRPr="1E318009">
        <w:rPr>
          <w:rFonts w:ascii="Times New Roman" w:eastAsia="Times New Roman" w:hAnsi="Times New Roman" w:cs="Times New Roman"/>
        </w:rPr>
        <w:t>Detta, i kombination med en ökad miljömedvetenhet, gör att det finns skäl att tro att flygresandet inte kommer återgå till samma nivåer som tidigare. Åtminstone inte inom en överskådlig framti</w:t>
      </w:r>
      <w:r w:rsidR="7978151D" w:rsidRPr="1E318009">
        <w:rPr>
          <w:rFonts w:ascii="Times New Roman" w:eastAsia="Times New Roman" w:hAnsi="Times New Roman" w:cs="Times New Roman"/>
        </w:rPr>
        <w:t>d.</w:t>
      </w:r>
      <w:r w:rsidRPr="1E318009">
        <w:rPr>
          <w:rFonts w:ascii="Times New Roman" w:eastAsia="Times New Roman" w:hAnsi="Times New Roman" w:cs="Times New Roman"/>
        </w:rPr>
        <w:t xml:space="preserve"> I</w:t>
      </w:r>
      <w:r w:rsidR="380CA683" w:rsidRPr="1E318009">
        <w:rPr>
          <w:rFonts w:ascii="Times New Roman" w:eastAsia="Times New Roman" w:hAnsi="Times New Roman" w:cs="Times New Roman"/>
        </w:rPr>
        <w:t xml:space="preserve"> </w:t>
      </w:r>
      <w:r w:rsidR="3C23793B" w:rsidRPr="1E318009">
        <w:rPr>
          <w:rFonts w:ascii="Times New Roman" w:eastAsia="Times New Roman" w:hAnsi="Times New Roman" w:cs="Times New Roman"/>
        </w:rPr>
        <w:t>WWF</w:t>
      </w:r>
      <w:r w:rsidR="3E7D061D" w:rsidRPr="1E318009">
        <w:rPr>
          <w:rFonts w:ascii="Times New Roman" w:eastAsia="Times New Roman" w:hAnsi="Times New Roman" w:cs="Times New Roman"/>
        </w:rPr>
        <w:t>:</w:t>
      </w:r>
      <w:r w:rsidR="2962A36E" w:rsidRPr="1E318009">
        <w:rPr>
          <w:rFonts w:ascii="Times New Roman" w:eastAsia="Times New Roman" w:hAnsi="Times New Roman" w:cs="Times New Roman"/>
        </w:rPr>
        <w:t>s</w:t>
      </w:r>
      <w:r w:rsidR="3C23793B" w:rsidRPr="1E318009">
        <w:rPr>
          <w:rFonts w:ascii="Times New Roman" w:eastAsia="Times New Roman" w:hAnsi="Times New Roman" w:cs="Times New Roman"/>
        </w:rPr>
        <w:t xml:space="preserve"> </w:t>
      </w:r>
      <w:r w:rsidRPr="1E318009">
        <w:rPr>
          <w:rFonts w:ascii="Times New Roman" w:eastAsia="Times New Roman" w:hAnsi="Times New Roman" w:cs="Times New Roman"/>
        </w:rPr>
        <w:t xml:space="preserve">Klimatbarometer </w:t>
      </w:r>
      <w:r w:rsidR="6F0BF25D" w:rsidRPr="1E318009">
        <w:rPr>
          <w:rFonts w:ascii="Times New Roman" w:eastAsia="Times New Roman" w:hAnsi="Times New Roman" w:cs="Times New Roman"/>
        </w:rPr>
        <w:t>2021</w:t>
      </w:r>
      <w:r w:rsidRPr="1E318009">
        <w:rPr>
          <w:rFonts w:ascii="Times New Roman" w:eastAsia="Times New Roman" w:hAnsi="Times New Roman" w:cs="Times New Roman"/>
        </w:rPr>
        <w:t xml:space="preserve"> svarade</w:t>
      </w:r>
      <w:r w:rsidR="27A1348B" w:rsidRPr="1E318009">
        <w:rPr>
          <w:rFonts w:ascii="Times New Roman" w:eastAsia="Times New Roman" w:hAnsi="Times New Roman" w:cs="Times New Roman"/>
        </w:rPr>
        <w:t xml:space="preserve"> mer än </w:t>
      </w:r>
      <w:r w:rsidRPr="1E318009">
        <w:rPr>
          <w:rFonts w:ascii="Times New Roman" w:eastAsia="Times New Roman" w:hAnsi="Times New Roman" w:cs="Times New Roman"/>
        </w:rPr>
        <w:t xml:space="preserve">varannan svensk att de planerade att minska på sitt flygresande efter </w:t>
      </w:r>
      <w:r w:rsidR="655C0EA3" w:rsidRPr="1E318009">
        <w:rPr>
          <w:rFonts w:ascii="Times New Roman" w:eastAsia="Times New Roman" w:hAnsi="Times New Roman" w:cs="Times New Roman"/>
        </w:rPr>
        <w:t>corona</w:t>
      </w:r>
      <w:r w:rsidRPr="1E318009">
        <w:rPr>
          <w:rFonts w:ascii="Times New Roman" w:eastAsia="Times New Roman" w:hAnsi="Times New Roman" w:cs="Times New Roman"/>
        </w:rPr>
        <w:t>pandemin</w:t>
      </w:r>
      <w:r w:rsidR="3EC344DD" w:rsidRPr="1E318009">
        <w:rPr>
          <w:rFonts w:ascii="Times New Roman" w:eastAsia="Times New Roman" w:hAnsi="Times New Roman" w:cs="Times New Roman"/>
        </w:rPr>
        <w:t>, jämfört med innan</w:t>
      </w:r>
      <w:r w:rsidRPr="1E318009">
        <w:rPr>
          <w:rFonts w:ascii="Times New Roman" w:eastAsia="Times New Roman" w:hAnsi="Times New Roman" w:cs="Times New Roman"/>
        </w:rPr>
        <w:t>.</w:t>
      </w:r>
      <w:r w:rsidR="2861E568" w:rsidRPr="1E318009">
        <w:rPr>
          <w:rFonts w:ascii="Times New Roman" w:eastAsia="Times New Roman" w:hAnsi="Times New Roman" w:cs="Times New Roman"/>
        </w:rPr>
        <w:t xml:space="preserve"> </w:t>
      </w:r>
      <w:r w:rsidRPr="1E318009">
        <w:rPr>
          <w:rFonts w:ascii="Times New Roman" w:eastAsia="Times New Roman" w:hAnsi="Times New Roman" w:cs="Times New Roman"/>
        </w:rPr>
        <w:t>En slutsats som kan dras av detta är att antalet resor per år samt reslängd kan komma att påverkas. Det väntas i sin tur påverka möjligheten att locka långväga besökare. För de aktörer</w:t>
      </w:r>
      <w:r w:rsidR="713BD77F" w:rsidRPr="1E318009">
        <w:rPr>
          <w:rFonts w:ascii="Times New Roman" w:eastAsia="Times New Roman" w:hAnsi="Times New Roman" w:cs="Times New Roman"/>
        </w:rPr>
        <w:t xml:space="preserve"> i näringen</w:t>
      </w:r>
      <w:r w:rsidRPr="1E318009">
        <w:rPr>
          <w:rFonts w:ascii="Times New Roman" w:eastAsia="Times New Roman" w:hAnsi="Times New Roman" w:cs="Times New Roman"/>
        </w:rPr>
        <w:t xml:space="preserve"> som </w:t>
      </w:r>
      <w:r w:rsidR="75313E37" w:rsidRPr="1E318009">
        <w:rPr>
          <w:rFonts w:ascii="Times New Roman" w:eastAsia="Times New Roman" w:hAnsi="Times New Roman" w:cs="Times New Roman"/>
        </w:rPr>
        <w:t xml:space="preserve">tidigare haft </w:t>
      </w:r>
      <w:r w:rsidR="6DBA4594" w:rsidRPr="1E318009">
        <w:rPr>
          <w:rFonts w:ascii="Times New Roman" w:eastAsia="Times New Roman" w:hAnsi="Times New Roman" w:cs="Times New Roman"/>
        </w:rPr>
        <w:t>en</w:t>
      </w:r>
      <w:r w:rsidRPr="1E318009">
        <w:rPr>
          <w:rFonts w:ascii="Times New Roman" w:eastAsia="Times New Roman" w:hAnsi="Times New Roman" w:cs="Times New Roman"/>
        </w:rPr>
        <w:t xml:space="preserve"> hög andel internationella (långväga) besökare innebär detta </w:t>
      </w:r>
      <w:r w:rsidR="5E9DBC7C" w:rsidRPr="1E318009">
        <w:rPr>
          <w:rFonts w:ascii="Times New Roman" w:eastAsia="Times New Roman" w:hAnsi="Times New Roman" w:cs="Times New Roman"/>
        </w:rPr>
        <w:t xml:space="preserve">att </w:t>
      </w:r>
      <w:r w:rsidR="69F9CCA2" w:rsidRPr="1E318009">
        <w:rPr>
          <w:rFonts w:ascii="Times New Roman" w:eastAsia="Times New Roman" w:hAnsi="Times New Roman" w:cs="Times New Roman"/>
        </w:rPr>
        <w:t>erbjudanden</w:t>
      </w:r>
      <w:r w:rsidR="4A821141" w:rsidRPr="1E318009">
        <w:rPr>
          <w:rFonts w:ascii="Times New Roman" w:eastAsia="Times New Roman" w:hAnsi="Times New Roman" w:cs="Times New Roman"/>
        </w:rPr>
        <w:t xml:space="preserve"> kan komma att</w:t>
      </w:r>
      <w:r w:rsidR="5E9DBC7C" w:rsidRPr="1E318009">
        <w:rPr>
          <w:rFonts w:ascii="Times New Roman" w:eastAsia="Times New Roman" w:hAnsi="Times New Roman" w:cs="Times New Roman"/>
        </w:rPr>
        <w:t xml:space="preserve"> behöv</w:t>
      </w:r>
      <w:r w:rsidR="26EEC862" w:rsidRPr="1E318009">
        <w:rPr>
          <w:rFonts w:ascii="Times New Roman" w:eastAsia="Times New Roman" w:hAnsi="Times New Roman" w:cs="Times New Roman"/>
        </w:rPr>
        <w:t>a</w:t>
      </w:r>
      <w:r w:rsidR="0C9454F1" w:rsidRPr="1E318009">
        <w:rPr>
          <w:rFonts w:ascii="Times New Roman" w:eastAsia="Times New Roman" w:hAnsi="Times New Roman" w:cs="Times New Roman"/>
        </w:rPr>
        <w:t xml:space="preserve"> anpassa</w:t>
      </w:r>
      <w:r w:rsidR="640104F5" w:rsidRPr="1E318009">
        <w:rPr>
          <w:rFonts w:ascii="Times New Roman" w:eastAsia="Times New Roman" w:hAnsi="Times New Roman" w:cs="Times New Roman"/>
        </w:rPr>
        <w:t xml:space="preserve">s </w:t>
      </w:r>
      <w:r w:rsidR="0C9454F1" w:rsidRPr="1E318009">
        <w:rPr>
          <w:rFonts w:ascii="Times New Roman" w:eastAsia="Times New Roman" w:hAnsi="Times New Roman" w:cs="Times New Roman"/>
        </w:rPr>
        <w:t>och möjligheterna att vända sig mot nya målgrupper</w:t>
      </w:r>
      <w:r w:rsidR="1F05F869" w:rsidRPr="1E318009">
        <w:rPr>
          <w:rFonts w:ascii="Times New Roman" w:eastAsia="Times New Roman" w:hAnsi="Times New Roman" w:cs="Times New Roman"/>
        </w:rPr>
        <w:t xml:space="preserve"> ses över</w:t>
      </w:r>
      <w:r w:rsidR="0C9454F1" w:rsidRPr="1E318009">
        <w:rPr>
          <w:rFonts w:ascii="Times New Roman" w:eastAsia="Times New Roman" w:hAnsi="Times New Roman" w:cs="Times New Roman"/>
        </w:rPr>
        <w:t xml:space="preserve">. </w:t>
      </w:r>
      <w:r w:rsidR="155AE7AF" w:rsidRPr="1E318009">
        <w:rPr>
          <w:rFonts w:ascii="Times New Roman" w:eastAsia="Times New Roman" w:hAnsi="Times New Roman" w:cs="Times New Roman"/>
        </w:rPr>
        <w:t>Samtidigt finns även potential i att öka vistelselängden hos de besökare som faktiskt reser till destinationen, då tröskeln att göra en längre resa är överstigen. Det blir därmed viktigt att erbjuda fler anledningar att stanna och uppleva destinationen. Intensifierade samarbeten mellan olika aktörer för att paketera upplevelser utifrån resenärernas behov väntas bli viktigt. Att känna sina besökare och förstå deras intressen och drivkrafter är nyckeln till att maximera intäktsmöjligheterna för destinationen som helhet.</w:t>
      </w:r>
    </w:p>
    <w:p w14:paraId="6E066075" w14:textId="7E223A21" w:rsidR="00F97269" w:rsidRDefault="304F2DD0" w:rsidP="00484A33">
      <w:pPr>
        <w:spacing w:line="276" w:lineRule="auto"/>
        <w:rPr>
          <w:rFonts w:ascii="Times New Roman" w:eastAsia="Times New Roman" w:hAnsi="Times New Roman" w:cs="Times New Roman"/>
          <w:color w:val="000000" w:themeColor="text1"/>
        </w:rPr>
      </w:pPr>
      <w:r w:rsidRPr="2D45ABF1">
        <w:rPr>
          <w:rFonts w:ascii="Times New Roman" w:eastAsia="Times New Roman" w:hAnsi="Times New Roman" w:cs="Times New Roman"/>
        </w:rPr>
        <w:t>Ett potentiellt minskat internationellt resande leder å</w:t>
      </w:r>
      <w:r w:rsidR="2582964B" w:rsidRPr="2D45ABF1">
        <w:rPr>
          <w:rFonts w:ascii="Times New Roman" w:eastAsia="Times New Roman" w:hAnsi="Times New Roman" w:cs="Times New Roman"/>
        </w:rPr>
        <w:t xml:space="preserve"> andra sidan </w:t>
      </w:r>
      <w:r w:rsidR="4174F403" w:rsidRPr="2D45ABF1">
        <w:rPr>
          <w:rFonts w:ascii="Times New Roman" w:eastAsia="Times New Roman" w:hAnsi="Times New Roman" w:cs="Times New Roman"/>
        </w:rPr>
        <w:t>till ökade möjligheter at</w:t>
      </w:r>
      <w:r w:rsidR="2582964B" w:rsidRPr="2D45ABF1">
        <w:rPr>
          <w:rFonts w:ascii="Times New Roman" w:eastAsia="Times New Roman" w:hAnsi="Times New Roman" w:cs="Times New Roman"/>
        </w:rPr>
        <w:t xml:space="preserve">t attrahera inhemska besökare, som i större utsträckning än tidigare väntas </w:t>
      </w:r>
      <w:r w:rsidR="1B799003" w:rsidRPr="2D45ABF1">
        <w:rPr>
          <w:rFonts w:ascii="Times New Roman" w:eastAsia="Times New Roman" w:hAnsi="Times New Roman" w:cs="Times New Roman"/>
        </w:rPr>
        <w:t>u</w:t>
      </w:r>
      <w:r w:rsidR="2582964B" w:rsidRPr="2D45ABF1">
        <w:rPr>
          <w:rFonts w:ascii="Times New Roman" w:eastAsia="Times New Roman" w:hAnsi="Times New Roman" w:cs="Times New Roman"/>
        </w:rPr>
        <w:t>n</w:t>
      </w:r>
      <w:r w:rsidR="1B799003" w:rsidRPr="2D45ABF1">
        <w:rPr>
          <w:rFonts w:ascii="Times New Roman" w:eastAsia="Times New Roman" w:hAnsi="Times New Roman" w:cs="Times New Roman"/>
        </w:rPr>
        <w:t xml:space="preserve">dvika att göra </w:t>
      </w:r>
      <w:r w:rsidR="472AAEB9" w:rsidRPr="2D45ABF1">
        <w:rPr>
          <w:rFonts w:ascii="Times New Roman" w:eastAsia="Times New Roman" w:hAnsi="Times New Roman" w:cs="Times New Roman"/>
        </w:rPr>
        <w:t xml:space="preserve">lika många </w:t>
      </w:r>
      <w:r w:rsidR="1B799003" w:rsidRPr="2D45ABF1">
        <w:rPr>
          <w:rFonts w:ascii="Times New Roman" w:eastAsia="Times New Roman" w:hAnsi="Times New Roman" w:cs="Times New Roman"/>
        </w:rPr>
        <w:t>långresor</w:t>
      </w:r>
      <w:r w:rsidR="1A531752" w:rsidRPr="2D45ABF1">
        <w:rPr>
          <w:rFonts w:ascii="Times New Roman" w:eastAsia="Times New Roman" w:hAnsi="Times New Roman" w:cs="Times New Roman"/>
        </w:rPr>
        <w:t xml:space="preserve"> som tidigare</w:t>
      </w:r>
      <w:r w:rsidR="2582964B" w:rsidRPr="2D45ABF1">
        <w:rPr>
          <w:rFonts w:ascii="Times New Roman" w:eastAsia="Times New Roman" w:hAnsi="Times New Roman" w:cs="Times New Roman"/>
        </w:rPr>
        <w:t xml:space="preserve">. </w:t>
      </w:r>
      <w:r w:rsidR="73E37C77" w:rsidRPr="2D45ABF1">
        <w:rPr>
          <w:rFonts w:ascii="Times New Roman" w:eastAsia="Times New Roman" w:hAnsi="Times New Roman" w:cs="Times New Roman"/>
        </w:rPr>
        <w:t xml:space="preserve">Under </w:t>
      </w:r>
      <w:r w:rsidR="189AD84F" w:rsidRPr="2D45ABF1">
        <w:rPr>
          <w:rFonts w:ascii="Times New Roman" w:eastAsia="Times New Roman" w:hAnsi="Times New Roman" w:cs="Times New Roman"/>
        </w:rPr>
        <w:t>corona</w:t>
      </w:r>
      <w:r w:rsidR="73E37C77" w:rsidRPr="2D45ABF1">
        <w:rPr>
          <w:rFonts w:ascii="Times New Roman" w:eastAsia="Times New Roman" w:hAnsi="Times New Roman" w:cs="Times New Roman"/>
        </w:rPr>
        <w:t xml:space="preserve">pandemin upptäckte fler svenskar utbudet av upplevelser och besöksmål i sin närmiljö, både regionalt och nationellt. Detta intresse väntas </w:t>
      </w:r>
      <w:r w:rsidR="672E278A" w:rsidRPr="2D45ABF1">
        <w:rPr>
          <w:rFonts w:ascii="Times New Roman" w:eastAsia="Times New Roman" w:hAnsi="Times New Roman" w:cs="Times New Roman"/>
        </w:rPr>
        <w:t xml:space="preserve">i någon mån </w:t>
      </w:r>
      <w:r w:rsidR="73E37C77" w:rsidRPr="2D45ABF1">
        <w:rPr>
          <w:rFonts w:ascii="Times New Roman" w:eastAsia="Times New Roman" w:hAnsi="Times New Roman" w:cs="Times New Roman"/>
        </w:rPr>
        <w:t xml:space="preserve">leva kvar och ta marknadsandelar från det mer långväga resandet även efter </w:t>
      </w:r>
      <w:r w:rsidR="76FEF064" w:rsidRPr="2D45ABF1">
        <w:rPr>
          <w:rFonts w:ascii="Times New Roman" w:eastAsia="Times New Roman" w:hAnsi="Times New Roman" w:cs="Times New Roman"/>
        </w:rPr>
        <w:t>corona</w:t>
      </w:r>
      <w:r w:rsidR="73E37C77" w:rsidRPr="2D45ABF1">
        <w:rPr>
          <w:rFonts w:ascii="Times New Roman" w:eastAsia="Times New Roman" w:hAnsi="Times New Roman" w:cs="Times New Roman"/>
        </w:rPr>
        <w:t xml:space="preserve">pandemin. I en nyligen genomförd studie av Visit Sweden </w:t>
      </w:r>
      <w:r w:rsidR="641A562F" w:rsidRPr="2D45ABF1">
        <w:rPr>
          <w:rFonts w:ascii="Times New Roman" w:eastAsia="Times New Roman" w:hAnsi="Times New Roman" w:cs="Times New Roman"/>
        </w:rPr>
        <w:t xml:space="preserve">(våren 2021) </w:t>
      </w:r>
      <w:r w:rsidR="73E37C77" w:rsidRPr="2D45ABF1">
        <w:rPr>
          <w:rFonts w:ascii="Times New Roman" w:eastAsia="Times New Roman" w:hAnsi="Times New Roman" w:cs="Times New Roman"/>
        </w:rPr>
        <w:t xml:space="preserve">uppgav 33% att de vill resa mer i hemlandet även efter </w:t>
      </w:r>
      <w:r w:rsidR="080481E9" w:rsidRPr="2D45ABF1">
        <w:rPr>
          <w:rFonts w:ascii="Times New Roman" w:eastAsia="Times New Roman" w:hAnsi="Times New Roman" w:cs="Times New Roman"/>
        </w:rPr>
        <w:t>c</w:t>
      </w:r>
      <w:r w:rsidR="1FE463FC" w:rsidRPr="2D45ABF1">
        <w:rPr>
          <w:rFonts w:ascii="Times New Roman" w:eastAsia="Times New Roman" w:hAnsi="Times New Roman" w:cs="Times New Roman"/>
        </w:rPr>
        <w:t>orona</w:t>
      </w:r>
      <w:r w:rsidR="73E37C77" w:rsidRPr="2D45ABF1">
        <w:rPr>
          <w:rFonts w:ascii="Times New Roman" w:eastAsia="Times New Roman" w:hAnsi="Times New Roman" w:cs="Times New Roman"/>
        </w:rPr>
        <w:t>pandemin</w:t>
      </w:r>
      <w:r w:rsidR="51EEF747" w:rsidRPr="2D45ABF1">
        <w:rPr>
          <w:rFonts w:ascii="Times New Roman" w:eastAsia="Times New Roman" w:hAnsi="Times New Roman" w:cs="Times New Roman"/>
        </w:rPr>
        <w:t xml:space="preserve"> är över</w:t>
      </w:r>
      <w:r w:rsidR="73E37C77" w:rsidRPr="2D45ABF1">
        <w:rPr>
          <w:rFonts w:ascii="Times New Roman" w:eastAsia="Times New Roman" w:hAnsi="Times New Roman" w:cs="Times New Roman"/>
        </w:rPr>
        <w:t xml:space="preserve">. Försäljningen av fritidshus och båtar </w:t>
      </w:r>
      <w:r w:rsidR="1D6E8E6B" w:rsidRPr="2D45ABF1">
        <w:rPr>
          <w:rFonts w:ascii="Times New Roman" w:eastAsia="Times New Roman" w:hAnsi="Times New Roman" w:cs="Times New Roman"/>
        </w:rPr>
        <w:t xml:space="preserve">i Sverige </w:t>
      </w:r>
      <w:r w:rsidR="73E37C77" w:rsidRPr="2D45ABF1">
        <w:rPr>
          <w:rFonts w:ascii="Times New Roman" w:eastAsia="Times New Roman" w:hAnsi="Times New Roman" w:cs="Times New Roman"/>
        </w:rPr>
        <w:t>ökade även under 2020, vilket på sikt medför inlåsningseffekter när människor vill nyttja sina investeringar under semeste</w:t>
      </w:r>
      <w:r w:rsidR="7D96FEF6" w:rsidRPr="2D45ABF1">
        <w:rPr>
          <w:rFonts w:ascii="Times New Roman" w:eastAsia="Times New Roman" w:hAnsi="Times New Roman" w:cs="Times New Roman"/>
        </w:rPr>
        <w:t>rn</w:t>
      </w:r>
      <w:r w:rsidR="73E37C77" w:rsidRPr="2D45ABF1">
        <w:rPr>
          <w:rFonts w:ascii="Times New Roman" w:eastAsia="Times New Roman" w:hAnsi="Times New Roman" w:cs="Times New Roman"/>
        </w:rPr>
        <w:t>, högtider och helger. En allt högre medvetenhet kring (det långväga) resandets effekter på miljön bidrar även till ett ökat intresse för att konsumera upplevelser på hemmaplan med gott samvete.</w:t>
      </w:r>
    </w:p>
    <w:p w14:paraId="789C1FD4" w14:textId="63522404" w:rsidR="00F97269" w:rsidRDefault="4ED77E2A" w:rsidP="00484A33">
      <w:pPr>
        <w:spacing w:line="276" w:lineRule="auto"/>
        <w:rPr>
          <w:rFonts w:ascii="Times New Roman" w:eastAsia="Times New Roman" w:hAnsi="Times New Roman" w:cs="Times New Roman"/>
          <w:color w:val="000000" w:themeColor="text1"/>
        </w:rPr>
      </w:pPr>
      <w:r w:rsidRPr="2D45ABF1">
        <w:rPr>
          <w:rFonts w:ascii="Times New Roman" w:eastAsia="Times New Roman" w:hAnsi="Times New Roman" w:cs="Times New Roman"/>
        </w:rPr>
        <w:t xml:space="preserve">Effekten för näringen blir </w:t>
      </w:r>
      <w:r w:rsidR="7FCC9BF7" w:rsidRPr="2D45ABF1">
        <w:rPr>
          <w:rFonts w:ascii="Times New Roman" w:eastAsia="Times New Roman" w:hAnsi="Times New Roman" w:cs="Times New Roman"/>
        </w:rPr>
        <w:t>troligtvis en</w:t>
      </w:r>
      <w:r w:rsidRPr="2D45ABF1">
        <w:rPr>
          <w:rFonts w:ascii="Times New Roman" w:eastAsia="Times New Roman" w:hAnsi="Times New Roman" w:cs="Times New Roman"/>
        </w:rPr>
        <w:t xml:space="preserve"> högre andel regionala eller nationella turister, som inte har samma behov som mer långväga turister. Medan långväga besökare vanligtvis övernattar kommersiellt och stannar längre på destinationen kan regionala och nationella besökare oftare övernatta hos släkt och vänner eller resa enbart över dagen. Här blir det viktigt för näringen att hitta fler sätt att göra sin produkt attraktiv för lokala och regionala besökare som kan ha andra drivkrafter än de internationella besökarna. Det kan </w:t>
      </w:r>
      <w:r w:rsidR="005F2DB0" w:rsidRPr="2D45ABF1">
        <w:rPr>
          <w:rFonts w:ascii="Times New Roman" w:eastAsia="Times New Roman" w:hAnsi="Times New Roman" w:cs="Times New Roman"/>
        </w:rPr>
        <w:t>till exempel</w:t>
      </w:r>
      <w:r w:rsidRPr="2D45ABF1">
        <w:rPr>
          <w:rFonts w:ascii="Times New Roman" w:eastAsia="Times New Roman" w:hAnsi="Times New Roman" w:cs="Times New Roman"/>
        </w:rPr>
        <w:t xml:space="preserve"> i större utsträckning bli aktuellt med affärsmodeller som innefattar prenumeration eller abonnemang på upplevelser som riktar sig till lokalbefolkningen. Oavsett om man är en nöjes-/kulturarena, hotellanläggning eller transportaktör. </w:t>
      </w:r>
      <w:r w:rsidR="086F905A" w:rsidRPr="2D45ABF1">
        <w:rPr>
          <w:rFonts w:ascii="Times New Roman" w:eastAsia="Times New Roman" w:hAnsi="Times New Roman" w:cs="Times New Roman"/>
        </w:rPr>
        <w:t xml:space="preserve">En förflyttning av insatser och resurser till transportsätt </w:t>
      </w:r>
      <w:r w:rsidR="1CEA5C49" w:rsidRPr="2D45ABF1">
        <w:rPr>
          <w:rFonts w:ascii="Times New Roman" w:eastAsia="Times New Roman" w:hAnsi="Times New Roman" w:cs="Times New Roman"/>
        </w:rPr>
        <w:t xml:space="preserve">som </w:t>
      </w:r>
      <w:r w:rsidR="086F905A" w:rsidRPr="2D45ABF1">
        <w:rPr>
          <w:rFonts w:ascii="Times New Roman" w:eastAsia="Times New Roman" w:hAnsi="Times New Roman" w:cs="Times New Roman"/>
        </w:rPr>
        <w:t xml:space="preserve">exempelvis tåg, och på så sätt öka tillgängligheten till destinationen som helhet, blir viktigt för att möjliggöra ett fortsatt flöde av besökare. </w:t>
      </w:r>
    </w:p>
    <w:p w14:paraId="5F42AF4E" w14:textId="478F91A6" w:rsidR="00F97269" w:rsidRPr="00364CE3" w:rsidRDefault="091EA154" w:rsidP="00364CE3">
      <w:pPr>
        <w:spacing w:after="0"/>
        <w:rPr>
          <w:rFonts w:ascii="Times New Roman" w:hAnsi="Times New Roman" w:cs="Times New Roman"/>
          <w:b/>
          <w:bCs/>
        </w:rPr>
      </w:pPr>
      <w:r w:rsidRPr="00364CE3">
        <w:rPr>
          <w:rFonts w:ascii="Times New Roman" w:hAnsi="Times New Roman" w:cs="Times New Roman"/>
          <w:b/>
          <w:bCs/>
        </w:rPr>
        <w:lastRenderedPageBreak/>
        <w:t>Delningsekonomi</w:t>
      </w:r>
    </w:p>
    <w:p w14:paraId="5472AC3D" w14:textId="389EE431" w:rsidR="00F97269" w:rsidRDefault="091EA154" w:rsidP="00484A33">
      <w:pPr>
        <w:spacing w:line="276" w:lineRule="auto"/>
        <w:rPr>
          <w:rFonts w:ascii="Times New Roman" w:eastAsia="Times New Roman" w:hAnsi="Times New Roman" w:cs="Times New Roman"/>
          <w:color w:val="000000" w:themeColor="text1"/>
        </w:rPr>
      </w:pPr>
      <w:r w:rsidRPr="1E318009">
        <w:rPr>
          <w:rFonts w:ascii="Times New Roman" w:eastAsia="Times New Roman" w:hAnsi="Times New Roman" w:cs="Times New Roman"/>
          <w:color w:val="000000" w:themeColor="text1"/>
        </w:rPr>
        <w:t xml:space="preserve">Upplevelser och tjänster utgör en växande andel av hushållens konsumtion. Önskan om att utnyttja tillgångar mer optimalt driver på utvecklingen inom delningsekonomin. Inom besöksnäringen märks detta genom användarvänliga digitala plattformar för att boka privat boende, transporter, upplevelser, </w:t>
      </w:r>
      <w:r w:rsidR="005F2DB0" w:rsidRPr="1E318009">
        <w:rPr>
          <w:rFonts w:ascii="Times New Roman" w:eastAsia="Times New Roman" w:hAnsi="Times New Roman" w:cs="Times New Roman"/>
          <w:color w:val="000000" w:themeColor="text1"/>
        </w:rPr>
        <w:t>med mera</w:t>
      </w:r>
      <w:r w:rsidR="1F3290D4" w:rsidRPr="1E318009">
        <w:rPr>
          <w:rFonts w:ascii="Times New Roman" w:eastAsia="Times New Roman" w:hAnsi="Times New Roman" w:cs="Times New Roman"/>
          <w:color w:val="000000" w:themeColor="text1"/>
        </w:rPr>
        <w:t>.</w:t>
      </w:r>
    </w:p>
    <w:p w14:paraId="6045B4B7" w14:textId="69E00556" w:rsidR="00F97269" w:rsidRDefault="091EA154" w:rsidP="00484A33">
      <w:pPr>
        <w:spacing w:line="276" w:lineRule="auto"/>
        <w:rPr>
          <w:rFonts w:ascii="Times New Roman" w:eastAsia="Times New Roman" w:hAnsi="Times New Roman" w:cs="Times New Roman"/>
          <w:color w:val="000000" w:themeColor="text1"/>
        </w:rPr>
      </w:pPr>
      <w:r w:rsidRPr="6F553BC0">
        <w:rPr>
          <w:rFonts w:ascii="Times New Roman" w:eastAsia="Times New Roman" w:hAnsi="Times New Roman" w:cs="Times New Roman"/>
          <w:color w:val="000000" w:themeColor="text1"/>
        </w:rPr>
        <w:t xml:space="preserve">Delningsekonomin innebär till viss del ökad konkurrens för kommersiella aktörer som får se en del av intäkterna gå till förmedlare av dessa tjänster. Samtidigt möjliggörs en ökad kapacitet för destinationen som helhet under högsäsong och i samband med större evenemang då exempelvis hotell ofta är fullbelagda. Det gör att näringens aktörer får möjlighet att locka fler kunder, även mer priskänsliga besökare.  </w:t>
      </w:r>
    </w:p>
    <w:p w14:paraId="0B56AD17" w14:textId="748F6E83" w:rsidR="00F97269" w:rsidRPr="00364CE3" w:rsidRDefault="091EA154" w:rsidP="00364CE3">
      <w:pPr>
        <w:spacing w:after="0"/>
        <w:rPr>
          <w:rFonts w:ascii="Times New Roman" w:hAnsi="Times New Roman" w:cs="Times New Roman"/>
          <w:b/>
          <w:bCs/>
        </w:rPr>
      </w:pPr>
      <w:r w:rsidRPr="00364CE3">
        <w:rPr>
          <w:rFonts w:ascii="Times New Roman" w:hAnsi="Times New Roman" w:cs="Times New Roman"/>
          <w:b/>
          <w:bCs/>
        </w:rPr>
        <w:t xml:space="preserve">Stadsutveckling </w:t>
      </w:r>
    </w:p>
    <w:p w14:paraId="78A18EBE" w14:textId="25A06C90" w:rsidR="091EA154" w:rsidRDefault="091EA154" w:rsidP="00484A33">
      <w:pPr>
        <w:spacing w:line="276" w:lineRule="auto"/>
        <w:rPr>
          <w:rFonts w:ascii="Times New Roman" w:eastAsia="Times New Roman" w:hAnsi="Times New Roman" w:cs="Times New Roman"/>
          <w:color w:val="000000" w:themeColor="text1"/>
          <w:highlight w:val="yellow"/>
        </w:rPr>
      </w:pPr>
      <w:r w:rsidRPr="6F553BC0">
        <w:rPr>
          <w:rFonts w:ascii="Times New Roman" w:eastAsia="Times New Roman" w:hAnsi="Times New Roman" w:cs="Times New Roman"/>
          <w:color w:val="000000" w:themeColor="text1"/>
        </w:rPr>
        <w:t xml:space="preserve">Historiskt har stadskärnors utbud i mångt och mycket präglats av handel och konsumtion. E-handelns starka tillväxt i kombination med </w:t>
      </w:r>
      <w:r w:rsidR="5960665E" w:rsidRPr="6F553BC0">
        <w:rPr>
          <w:rFonts w:ascii="Times New Roman" w:eastAsia="Times New Roman" w:hAnsi="Times New Roman" w:cs="Times New Roman"/>
          <w:color w:val="000000" w:themeColor="text1"/>
        </w:rPr>
        <w:t xml:space="preserve">ökat hemarbete och </w:t>
      </w:r>
      <w:r w:rsidRPr="6F553BC0">
        <w:rPr>
          <w:rFonts w:ascii="Times New Roman" w:eastAsia="Times New Roman" w:hAnsi="Times New Roman" w:cs="Times New Roman"/>
          <w:color w:val="000000" w:themeColor="text1"/>
        </w:rPr>
        <w:t>förändrade resmönster gör att det finns behov av ett mer nyanserat utbud i stadskärnorna</w:t>
      </w:r>
      <w:r w:rsidR="3EBD37F9" w:rsidRPr="6F553BC0">
        <w:rPr>
          <w:rFonts w:ascii="Times New Roman" w:eastAsia="Times New Roman" w:hAnsi="Times New Roman" w:cs="Times New Roman"/>
          <w:color w:val="000000" w:themeColor="text1"/>
        </w:rPr>
        <w:t xml:space="preserve"> som lockar till besök</w:t>
      </w:r>
      <w:r w:rsidRPr="6F553BC0">
        <w:rPr>
          <w:rFonts w:ascii="Times New Roman" w:eastAsia="Times New Roman" w:hAnsi="Times New Roman" w:cs="Times New Roman"/>
          <w:color w:val="000000" w:themeColor="text1"/>
        </w:rPr>
        <w:t xml:space="preserve">. </w:t>
      </w:r>
      <w:r w:rsidR="3856A195" w:rsidRPr="6F553BC0">
        <w:rPr>
          <w:rFonts w:ascii="Times New Roman" w:eastAsia="Times New Roman" w:hAnsi="Times New Roman" w:cs="Times New Roman"/>
          <w:color w:val="000000" w:themeColor="text1"/>
        </w:rPr>
        <w:t>E</w:t>
      </w:r>
      <w:r w:rsidRPr="6F553BC0">
        <w:rPr>
          <w:rFonts w:ascii="Times New Roman" w:eastAsia="Times New Roman" w:hAnsi="Times New Roman" w:cs="Times New Roman"/>
          <w:color w:val="000000" w:themeColor="text1"/>
        </w:rPr>
        <w:t xml:space="preserve">n mer holistisk syn på stadskärnan </w:t>
      </w:r>
      <w:r w:rsidR="0F1EBD85" w:rsidRPr="6F553BC0">
        <w:rPr>
          <w:rFonts w:ascii="Times New Roman" w:eastAsia="Times New Roman" w:hAnsi="Times New Roman" w:cs="Times New Roman"/>
          <w:color w:val="000000" w:themeColor="text1"/>
        </w:rPr>
        <w:t xml:space="preserve">har börjat </w:t>
      </w:r>
      <w:r w:rsidRPr="6F553BC0">
        <w:rPr>
          <w:rFonts w:ascii="Times New Roman" w:eastAsia="Times New Roman" w:hAnsi="Times New Roman" w:cs="Times New Roman"/>
          <w:color w:val="000000" w:themeColor="text1"/>
        </w:rPr>
        <w:t>utvecklas där citykärnans innehåll och utbud behöver breddas för att möta förväntningarna hos dagens och morgondagens invånare och besökare.</w:t>
      </w:r>
    </w:p>
    <w:p w14:paraId="25DC9030" w14:textId="4CA943A2" w:rsidR="6CEB38AA" w:rsidRDefault="6CEB38AA" w:rsidP="00484A33">
      <w:pPr>
        <w:spacing w:line="276" w:lineRule="auto"/>
        <w:rPr>
          <w:rFonts w:ascii="Times New Roman" w:eastAsia="Times New Roman" w:hAnsi="Times New Roman" w:cs="Times New Roman"/>
          <w:color w:val="000000" w:themeColor="text1"/>
        </w:rPr>
      </w:pPr>
      <w:r w:rsidRPr="6F553BC0">
        <w:rPr>
          <w:rFonts w:ascii="Times New Roman" w:eastAsia="Times New Roman" w:hAnsi="Times New Roman" w:cs="Times New Roman"/>
          <w:color w:val="000000" w:themeColor="text1"/>
        </w:rPr>
        <w:t xml:space="preserve">För stadskärnor och köpcentrum innebär detta allt högre krav på att positionera sig som mer än en plats för shopping för att fortsatt locka besökare. Butiksytor ställs om till mötesplatser för besökare och ger varumärken möjlighet att visa upp sina innovationer istället för att primärt utgöra försäljningsyta. </w:t>
      </w:r>
      <w:r w:rsidR="4E2FBB1B" w:rsidRPr="6F553BC0">
        <w:rPr>
          <w:rFonts w:ascii="Times New Roman" w:eastAsia="Times New Roman" w:hAnsi="Times New Roman" w:cs="Times New Roman"/>
          <w:color w:val="000000" w:themeColor="text1"/>
        </w:rPr>
        <w:t>Stadsutveckling präglas allt oftare idag av just innovation, hållbarhet och fokus på hälsa och välbefinnande för invånarna. Områden för rekreation och motion samt grönområden där människor kan mötas i sociala sammanhang utan att nödvändigtvis vara konsumenter är allt vanligare förekommande i moderna städer.</w:t>
      </w:r>
    </w:p>
    <w:p w14:paraId="7A76A5A2" w14:textId="35B5EAC1" w:rsidR="091EA154" w:rsidRDefault="091EA154" w:rsidP="00484A33">
      <w:pPr>
        <w:spacing w:line="276" w:lineRule="auto"/>
        <w:rPr>
          <w:rFonts w:ascii="Times New Roman" w:eastAsia="Times New Roman" w:hAnsi="Times New Roman" w:cs="Times New Roman"/>
          <w:color w:val="000000" w:themeColor="text1"/>
        </w:rPr>
      </w:pPr>
      <w:r w:rsidRPr="6F553BC0">
        <w:rPr>
          <w:rFonts w:ascii="Times New Roman" w:eastAsia="Times New Roman" w:hAnsi="Times New Roman" w:cs="Times New Roman"/>
          <w:color w:val="000000" w:themeColor="text1"/>
        </w:rPr>
        <w:t>I takt med att städer växer och förtätas skapas ministadskärnor i staden. Detta är inget nytt fenomen i sig. Sinnebilden för detta är att i princip det mesta som en invånare behöver i sitt dagliga liv bör finnas inom 15 minuter med cykel från bostaden. En annan benämning på detta är “15-minutersstaden”.</w:t>
      </w:r>
    </w:p>
    <w:p w14:paraId="0A6DA9B0" w14:textId="1720E3BC" w:rsidR="00F97269" w:rsidRDefault="06DE6191" w:rsidP="00364CE3">
      <w:pPr>
        <w:spacing w:after="0" w:line="276" w:lineRule="auto"/>
        <w:rPr>
          <w:rFonts w:ascii="Times New Roman" w:eastAsia="Times New Roman" w:hAnsi="Times New Roman" w:cs="Times New Roman"/>
          <w:color w:val="000000" w:themeColor="text1"/>
        </w:rPr>
      </w:pPr>
      <w:r w:rsidRPr="1E318009">
        <w:rPr>
          <w:rFonts w:ascii="Times New Roman" w:hAnsi="Times New Roman" w:cs="Times New Roman"/>
          <w:b/>
          <w:bCs/>
        </w:rPr>
        <w:t xml:space="preserve">Förändringar i </w:t>
      </w:r>
      <w:r w:rsidR="10D0F0E1" w:rsidRPr="1E318009">
        <w:rPr>
          <w:rFonts w:ascii="Times New Roman" w:hAnsi="Times New Roman" w:cs="Times New Roman"/>
          <w:b/>
          <w:bCs/>
        </w:rPr>
        <w:t xml:space="preserve">konsumenters </w:t>
      </w:r>
      <w:r w:rsidRPr="1E318009">
        <w:rPr>
          <w:rFonts w:ascii="Times New Roman" w:hAnsi="Times New Roman" w:cs="Times New Roman"/>
          <w:b/>
          <w:bCs/>
        </w:rPr>
        <w:t xml:space="preserve">efterfrågan </w:t>
      </w:r>
      <w:r w:rsidR="5FF82457" w:rsidRPr="1E318009">
        <w:rPr>
          <w:rFonts w:ascii="Times New Roman" w:hAnsi="Times New Roman" w:cs="Times New Roman"/>
          <w:b/>
          <w:bCs/>
        </w:rPr>
        <w:t>till följd av</w:t>
      </w:r>
      <w:r w:rsidRPr="1E318009">
        <w:rPr>
          <w:rFonts w:ascii="Times New Roman" w:hAnsi="Times New Roman" w:cs="Times New Roman"/>
          <w:b/>
          <w:bCs/>
        </w:rPr>
        <w:t xml:space="preserve"> </w:t>
      </w:r>
      <w:r w:rsidR="3E2E365B" w:rsidRPr="1E318009">
        <w:rPr>
          <w:rFonts w:ascii="Times New Roman" w:hAnsi="Times New Roman" w:cs="Times New Roman"/>
          <w:b/>
          <w:bCs/>
        </w:rPr>
        <w:t>corona</w:t>
      </w:r>
      <w:r w:rsidRPr="1E318009">
        <w:rPr>
          <w:rFonts w:ascii="Times New Roman" w:hAnsi="Times New Roman" w:cs="Times New Roman"/>
          <w:b/>
          <w:bCs/>
        </w:rPr>
        <w:t>pandemin</w:t>
      </w:r>
      <w:r>
        <w:br/>
      </w:r>
      <w:r w:rsidR="32F13F17" w:rsidRPr="1E318009">
        <w:rPr>
          <w:rFonts w:ascii="Times New Roman" w:eastAsia="Times New Roman" w:hAnsi="Times New Roman" w:cs="Times New Roman"/>
          <w:color w:val="000000" w:themeColor="text1"/>
        </w:rPr>
        <w:t xml:space="preserve">Även efter det att </w:t>
      </w:r>
      <w:r w:rsidR="03C6FCFC" w:rsidRPr="1E318009">
        <w:rPr>
          <w:rFonts w:ascii="Times New Roman" w:eastAsia="Times New Roman" w:hAnsi="Times New Roman" w:cs="Times New Roman"/>
          <w:color w:val="000000" w:themeColor="text1"/>
        </w:rPr>
        <w:t>corona</w:t>
      </w:r>
      <w:r w:rsidR="32F13F17" w:rsidRPr="1E318009">
        <w:rPr>
          <w:rFonts w:ascii="Times New Roman" w:eastAsia="Times New Roman" w:hAnsi="Times New Roman" w:cs="Times New Roman"/>
          <w:color w:val="000000" w:themeColor="text1"/>
        </w:rPr>
        <w:t xml:space="preserve">pandemin kan </w:t>
      </w:r>
      <w:r w:rsidR="4DD851DB" w:rsidRPr="1E318009">
        <w:rPr>
          <w:rFonts w:ascii="Times New Roman" w:eastAsia="Times New Roman" w:hAnsi="Times New Roman" w:cs="Times New Roman"/>
          <w:color w:val="000000" w:themeColor="text1"/>
        </w:rPr>
        <w:t xml:space="preserve">ses som </w:t>
      </w:r>
      <w:r w:rsidR="32F13F17" w:rsidRPr="1E318009">
        <w:rPr>
          <w:rFonts w:ascii="Times New Roman" w:eastAsia="Times New Roman" w:hAnsi="Times New Roman" w:cs="Times New Roman"/>
          <w:color w:val="000000" w:themeColor="text1"/>
        </w:rPr>
        <w:t>över</w:t>
      </w:r>
      <w:r w:rsidR="75DF814E" w:rsidRPr="1E318009">
        <w:rPr>
          <w:rFonts w:ascii="Times New Roman" w:eastAsia="Times New Roman" w:hAnsi="Times New Roman" w:cs="Times New Roman"/>
          <w:color w:val="000000" w:themeColor="text1"/>
        </w:rPr>
        <w:t xml:space="preserve">, </w:t>
      </w:r>
      <w:r w:rsidR="32F13F17" w:rsidRPr="1E318009">
        <w:rPr>
          <w:rFonts w:ascii="Times New Roman" w:eastAsia="Times New Roman" w:hAnsi="Times New Roman" w:cs="Times New Roman"/>
          <w:color w:val="000000" w:themeColor="text1"/>
        </w:rPr>
        <w:t xml:space="preserve">väntas vissa beteenden kvarstå, åtminstone hos en del av befolkningen. </w:t>
      </w:r>
      <w:r w:rsidR="5AA8D157" w:rsidRPr="1E318009">
        <w:rPr>
          <w:rFonts w:ascii="Times New Roman" w:eastAsia="Times New Roman" w:hAnsi="Times New Roman" w:cs="Times New Roman"/>
          <w:color w:val="000000" w:themeColor="text1"/>
        </w:rPr>
        <w:t xml:space="preserve">Att </w:t>
      </w:r>
      <w:r w:rsidR="005F2DB0" w:rsidRPr="1E318009">
        <w:rPr>
          <w:rFonts w:ascii="Times New Roman" w:eastAsia="Times New Roman" w:hAnsi="Times New Roman" w:cs="Times New Roman"/>
          <w:color w:val="000000" w:themeColor="text1"/>
        </w:rPr>
        <w:t>till exempel</w:t>
      </w:r>
      <w:r w:rsidR="5AA8D157" w:rsidRPr="1E318009">
        <w:rPr>
          <w:rFonts w:ascii="Times New Roman" w:eastAsia="Times New Roman" w:hAnsi="Times New Roman" w:cs="Times New Roman"/>
          <w:color w:val="000000" w:themeColor="text1"/>
        </w:rPr>
        <w:t xml:space="preserve"> gå till arbetsplatsen trots sjuk</w:t>
      </w:r>
      <w:r w:rsidR="13BA7804" w:rsidRPr="1E318009">
        <w:rPr>
          <w:rFonts w:ascii="Times New Roman" w:eastAsia="Times New Roman" w:hAnsi="Times New Roman" w:cs="Times New Roman"/>
          <w:color w:val="000000" w:themeColor="text1"/>
        </w:rPr>
        <w:t>domssymtom</w:t>
      </w:r>
      <w:r w:rsidR="5AA8D157" w:rsidRPr="1E318009">
        <w:rPr>
          <w:rFonts w:ascii="Times New Roman" w:eastAsia="Times New Roman" w:hAnsi="Times New Roman" w:cs="Times New Roman"/>
          <w:color w:val="000000" w:themeColor="text1"/>
        </w:rPr>
        <w:t xml:space="preserve"> var inte helt ovanligt förekommande före </w:t>
      </w:r>
      <w:r w:rsidR="7556E940" w:rsidRPr="1E318009">
        <w:rPr>
          <w:rFonts w:ascii="Times New Roman" w:eastAsia="Times New Roman" w:hAnsi="Times New Roman" w:cs="Times New Roman"/>
          <w:color w:val="000000" w:themeColor="text1"/>
        </w:rPr>
        <w:t>corona</w:t>
      </w:r>
      <w:r w:rsidR="5AA8D157" w:rsidRPr="1E318009">
        <w:rPr>
          <w:rFonts w:ascii="Times New Roman" w:eastAsia="Times New Roman" w:hAnsi="Times New Roman" w:cs="Times New Roman"/>
          <w:color w:val="000000" w:themeColor="text1"/>
        </w:rPr>
        <w:t xml:space="preserve">pandemin, men många </w:t>
      </w:r>
      <w:r w:rsidR="44D2329B" w:rsidRPr="1E318009">
        <w:rPr>
          <w:rFonts w:ascii="Times New Roman" w:eastAsia="Times New Roman" w:hAnsi="Times New Roman" w:cs="Times New Roman"/>
          <w:color w:val="000000" w:themeColor="text1"/>
        </w:rPr>
        <w:t>anser att man även fortsättningsvis bör hålla sig hemma</w:t>
      </w:r>
      <w:r w:rsidR="71AADD89" w:rsidRPr="1E318009">
        <w:rPr>
          <w:rFonts w:ascii="Times New Roman" w:eastAsia="Times New Roman" w:hAnsi="Times New Roman" w:cs="Times New Roman"/>
          <w:color w:val="000000" w:themeColor="text1"/>
        </w:rPr>
        <w:t xml:space="preserve"> av hänsyn till sin omgivning</w:t>
      </w:r>
      <w:r w:rsidR="44D2329B" w:rsidRPr="1E318009">
        <w:rPr>
          <w:rFonts w:ascii="Times New Roman" w:eastAsia="Times New Roman" w:hAnsi="Times New Roman" w:cs="Times New Roman"/>
          <w:color w:val="000000" w:themeColor="text1"/>
        </w:rPr>
        <w:t xml:space="preserve"> om man </w:t>
      </w:r>
      <w:r w:rsidR="5D464AC8" w:rsidRPr="1E318009">
        <w:rPr>
          <w:rFonts w:ascii="Times New Roman" w:eastAsia="Times New Roman" w:hAnsi="Times New Roman" w:cs="Times New Roman"/>
          <w:color w:val="000000" w:themeColor="text1"/>
        </w:rPr>
        <w:t>känner sig krasslig</w:t>
      </w:r>
      <w:r w:rsidR="4429A333" w:rsidRPr="1E318009">
        <w:rPr>
          <w:rFonts w:ascii="Times New Roman" w:eastAsia="Times New Roman" w:hAnsi="Times New Roman" w:cs="Times New Roman"/>
          <w:color w:val="000000" w:themeColor="text1"/>
        </w:rPr>
        <w:t>. Nedan listas ett antal sådana beteenden eller förändringar i efterfrågan som har koppling till be</w:t>
      </w:r>
      <w:r w:rsidR="52279F90" w:rsidRPr="1E318009">
        <w:rPr>
          <w:rFonts w:ascii="Times New Roman" w:eastAsia="Times New Roman" w:hAnsi="Times New Roman" w:cs="Times New Roman"/>
          <w:color w:val="000000" w:themeColor="text1"/>
        </w:rPr>
        <w:t>söksnäringen och som</w:t>
      </w:r>
      <w:r w:rsidR="1AC66F2E" w:rsidRPr="1E318009">
        <w:rPr>
          <w:rFonts w:ascii="Times New Roman" w:eastAsia="Times New Roman" w:hAnsi="Times New Roman" w:cs="Times New Roman"/>
          <w:color w:val="000000" w:themeColor="text1"/>
        </w:rPr>
        <w:t xml:space="preserve"> i någon mån</w:t>
      </w:r>
      <w:r w:rsidR="52279F90" w:rsidRPr="1E318009">
        <w:rPr>
          <w:rFonts w:ascii="Times New Roman" w:eastAsia="Times New Roman" w:hAnsi="Times New Roman" w:cs="Times New Roman"/>
          <w:color w:val="000000" w:themeColor="text1"/>
        </w:rPr>
        <w:t xml:space="preserve"> kan väntas bli mer </w:t>
      </w:r>
      <w:r w:rsidR="34EC04B1" w:rsidRPr="1E318009">
        <w:rPr>
          <w:rFonts w:ascii="Times New Roman" w:eastAsia="Times New Roman" w:hAnsi="Times New Roman" w:cs="Times New Roman"/>
          <w:color w:val="000000" w:themeColor="text1"/>
        </w:rPr>
        <w:t>bestående</w:t>
      </w:r>
      <w:r w:rsidR="52279F90" w:rsidRPr="1E318009">
        <w:rPr>
          <w:rFonts w:ascii="Times New Roman" w:eastAsia="Times New Roman" w:hAnsi="Times New Roman" w:cs="Times New Roman"/>
          <w:color w:val="000000" w:themeColor="text1"/>
        </w:rPr>
        <w:t>. All</w:t>
      </w:r>
      <w:r w:rsidR="61AB01F5" w:rsidRPr="1E318009">
        <w:rPr>
          <w:rFonts w:ascii="Times New Roman" w:eastAsia="Times New Roman" w:hAnsi="Times New Roman" w:cs="Times New Roman"/>
          <w:color w:val="000000" w:themeColor="text1"/>
        </w:rPr>
        <w:t>a attityder och beteenden</w:t>
      </w:r>
      <w:r w:rsidR="52279F90" w:rsidRPr="1E318009">
        <w:rPr>
          <w:rFonts w:ascii="Times New Roman" w:eastAsia="Times New Roman" w:hAnsi="Times New Roman" w:cs="Times New Roman"/>
          <w:color w:val="000000" w:themeColor="text1"/>
        </w:rPr>
        <w:t xml:space="preserve"> gäll</w:t>
      </w:r>
      <w:r w:rsidR="2EDB7335" w:rsidRPr="1E318009">
        <w:rPr>
          <w:rFonts w:ascii="Times New Roman" w:eastAsia="Times New Roman" w:hAnsi="Times New Roman" w:cs="Times New Roman"/>
          <w:color w:val="000000" w:themeColor="text1"/>
        </w:rPr>
        <w:t>e</w:t>
      </w:r>
      <w:r w:rsidR="52279F90" w:rsidRPr="1E318009">
        <w:rPr>
          <w:rFonts w:ascii="Times New Roman" w:eastAsia="Times New Roman" w:hAnsi="Times New Roman" w:cs="Times New Roman"/>
          <w:color w:val="000000" w:themeColor="text1"/>
        </w:rPr>
        <w:t>r givetvis inte alla konsumenter och besökare,</w:t>
      </w:r>
      <w:r w:rsidR="72D52CF7" w:rsidRPr="1E318009">
        <w:rPr>
          <w:rFonts w:ascii="Times New Roman" w:eastAsia="Times New Roman" w:hAnsi="Times New Roman" w:cs="Times New Roman"/>
          <w:color w:val="000000" w:themeColor="text1"/>
        </w:rPr>
        <w:t xml:space="preserve"> men </w:t>
      </w:r>
      <w:r w:rsidR="5FD69BA8" w:rsidRPr="1E318009">
        <w:rPr>
          <w:rFonts w:ascii="Times New Roman" w:eastAsia="Times New Roman" w:hAnsi="Times New Roman" w:cs="Times New Roman"/>
          <w:color w:val="000000" w:themeColor="text1"/>
        </w:rPr>
        <w:t xml:space="preserve">de väntas ändå få </w:t>
      </w:r>
      <w:r w:rsidR="0BF1D48D" w:rsidRPr="1E318009">
        <w:rPr>
          <w:rFonts w:ascii="Times New Roman" w:eastAsia="Times New Roman" w:hAnsi="Times New Roman" w:cs="Times New Roman"/>
          <w:color w:val="000000" w:themeColor="text1"/>
        </w:rPr>
        <w:t xml:space="preserve">någon </w:t>
      </w:r>
      <w:r w:rsidR="5FD69BA8" w:rsidRPr="1E318009">
        <w:rPr>
          <w:rFonts w:ascii="Times New Roman" w:eastAsia="Times New Roman" w:hAnsi="Times New Roman" w:cs="Times New Roman"/>
          <w:color w:val="000000" w:themeColor="text1"/>
        </w:rPr>
        <w:t xml:space="preserve">effekt </w:t>
      </w:r>
      <w:r w:rsidR="79C675A4" w:rsidRPr="1E318009">
        <w:rPr>
          <w:rFonts w:ascii="Times New Roman" w:eastAsia="Times New Roman" w:hAnsi="Times New Roman" w:cs="Times New Roman"/>
          <w:color w:val="000000" w:themeColor="text1"/>
        </w:rPr>
        <w:t>på efterfrågan</w:t>
      </w:r>
      <w:r w:rsidR="5FD69BA8" w:rsidRPr="1E318009">
        <w:rPr>
          <w:rFonts w:ascii="Times New Roman" w:eastAsia="Times New Roman" w:hAnsi="Times New Roman" w:cs="Times New Roman"/>
          <w:color w:val="000000" w:themeColor="text1"/>
        </w:rPr>
        <w:t xml:space="preserve">. </w:t>
      </w:r>
      <w:r w:rsidR="25B549A5" w:rsidRPr="1E318009">
        <w:rPr>
          <w:rFonts w:ascii="Times New Roman" w:eastAsia="Times New Roman" w:hAnsi="Times New Roman" w:cs="Times New Roman"/>
          <w:color w:val="000000" w:themeColor="text1"/>
        </w:rPr>
        <w:t xml:space="preserve"> </w:t>
      </w:r>
      <w:r>
        <w:br/>
      </w:r>
      <w:r>
        <w:br/>
      </w:r>
      <w:r w:rsidR="2973334F" w:rsidRPr="1E318009">
        <w:rPr>
          <w:rFonts w:ascii="Times New Roman" w:eastAsia="Times New Roman" w:hAnsi="Times New Roman" w:cs="Times New Roman"/>
          <w:color w:val="000000" w:themeColor="text1"/>
          <w:u w:val="single"/>
        </w:rPr>
        <w:t>Besökares ökade</w:t>
      </w:r>
      <w:r w:rsidR="091EA154" w:rsidRPr="1E318009">
        <w:rPr>
          <w:rFonts w:ascii="Times New Roman" w:eastAsia="Times New Roman" w:hAnsi="Times New Roman" w:cs="Times New Roman"/>
          <w:color w:val="000000" w:themeColor="text1"/>
          <w:u w:val="single"/>
        </w:rPr>
        <w:t xml:space="preserve"> behov av trygghet och säkerhet</w:t>
      </w:r>
      <w:r>
        <w:br/>
      </w:r>
      <w:r w:rsidR="091EA154" w:rsidRPr="1E318009">
        <w:rPr>
          <w:rFonts w:ascii="Times New Roman" w:eastAsia="Times New Roman" w:hAnsi="Times New Roman" w:cs="Times New Roman"/>
          <w:color w:val="000000" w:themeColor="text1"/>
        </w:rPr>
        <w:t xml:space="preserve">Att hantera säkerhet kring stora evenemang och möten har länge primärt fokuserat kring frågor om terrorhot, brandsäkerhet och att förhindra trängsel. Under pandemin </w:t>
      </w:r>
      <w:r w:rsidR="3AF4DCC6" w:rsidRPr="1E318009">
        <w:rPr>
          <w:rFonts w:ascii="Times New Roman" w:eastAsia="Times New Roman" w:hAnsi="Times New Roman" w:cs="Times New Roman"/>
          <w:color w:val="000000" w:themeColor="text1"/>
        </w:rPr>
        <w:t>ökade konsumenters</w:t>
      </w:r>
      <w:r w:rsidR="091EA154" w:rsidRPr="1E318009">
        <w:rPr>
          <w:rFonts w:ascii="Times New Roman" w:eastAsia="Times New Roman" w:hAnsi="Times New Roman" w:cs="Times New Roman"/>
          <w:color w:val="000000" w:themeColor="text1"/>
        </w:rPr>
        <w:t xml:space="preserve"> medvetenhet om riskerna med nära kontakter med främmande människor, och vikten av att hålla god handhygien</w:t>
      </w:r>
      <w:r w:rsidR="47EA3EF2" w:rsidRPr="1E318009">
        <w:rPr>
          <w:rFonts w:ascii="Times New Roman" w:eastAsia="Times New Roman" w:hAnsi="Times New Roman" w:cs="Times New Roman"/>
          <w:color w:val="000000" w:themeColor="text1"/>
        </w:rPr>
        <w:t>.</w:t>
      </w:r>
      <w:r w:rsidR="091EA154" w:rsidRPr="1E318009">
        <w:rPr>
          <w:rFonts w:ascii="Times New Roman" w:eastAsia="Times New Roman" w:hAnsi="Times New Roman" w:cs="Times New Roman"/>
          <w:color w:val="000000" w:themeColor="text1"/>
        </w:rPr>
        <w:t xml:space="preserve"> Även </w:t>
      </w:r>
      <w:r w:rsidR="2D47B140" w:rsidRPr="1E318009">
        <w:rPr>
          <w:rFonts w:ascii="Times New Roman" w:eastAsia="Times New Roman" w:hAnsi="Times New Roman" w:cs="Times New Roman"/>
          <w:color w:val="000000" w:themeColor="text1"/>
        </w:rPr>
        <w:t>efter en omfattande vaccinering i befolkningen</w:t>
      </w:r>
      <w:r w:rsidR="091EA154" w:rsidRPr="1E318009">
        <w:rPr>
          <w:rFonts w:ascii="Times New Roman" w:eastAsia="Times New Roman" w:hAnsi="Times New Roman" w:cs="Times New Roman"/>
          <w:color w:val="000000" w:themeColor="text1"/>
        </w:rPr>
        <w:t>, kvarstår risken för andra sjukdomar och virus som kan spridas då många människor möts. Stora evenemang och resande innebär ofta trängsel</w:t>
      </w:r>
      <w:r w:rsidR="43F3E6A2" w:rsidRPr="1E318009">
        <w:rPr>
          <w:rFonts w:ascii="Times New Roman" w:eastAsia="Times New Roman" w:hAnsi="Times New Roman" w:cs="Times New Roman"/>
          <w:color w:val="000000" w:themeColor="text1"/>
        </w:rPr>
        <w:t xml:space="preserve"> varför</w:t>
      </w:r>
      <w:r w:rsidR="091EA154" w:rsidRPr="1E318009">
        <w:rPr>
          <w:rFonts w:ascii="Times New Roman" w:eastAsia="Times New Roman" w:hAnsi="Times New Roman" w:cs="Times New Roman"/>
          <w:color w:val="000000" w:themeColor="text1"/>
        </w:rPr>
        <w:t xml:space="preserve"> </w:t>
      </w:r>
      <w:r w:rsidR="3B29C43D" w:rsidRPr="1E318009">
        <w:rPr>
          <w:rFonts w:ascii="Times New Roman" w:eastAsia="Times New Roman" w:hAnsi="Times New Roman" w:cs="Times New Roman"/>
          <w:color w:val="000000" w:themeColor="text1"/>
        </w:rPr>
        <w:t>h</w:t>
      </w:r>
      <w:r w:rsidR="091EA154" w:rsidRPr="1E318009">
        <w:rPr>
          <w:rFonts w:ascii="Times New Roman" w:eastAsia="Times New Roman" w:hAnsi="Times New Roman" w:cs="Times New Roman"/>
          <w:color w:val="000000" w:themeColor="text1"/>
        </w:rPr>
        <w:t>ög</w:t>
      </w:r>
      <w:r w:rsidR="3B219073" w:rsidRPr="1E318009">
        <w:rPr>
          <w:rFonts w:ascii="Times New Roman" w:eastAsia="Times New Roman" w:hAnsi="Times New Roman" w:cs="Times New Roman"/>
          <w:color w:val="000000" w:themeColor="text1"/>
        </w:rPr>
        <w:t>a</w:t>
      </w:r>
      <w:r w:rsidR="091EA154" w:rsidRPr="1E318009">
        <w:rPr>
          <w:rFonts w:ascii="Times New Roman" w:eastAsia="Times New Roman" w:hAnsi="Times New Roman" w:cs="Times New Roman"/>
          <w:color w:val="000000" w:themeColor="text1"/>
        </w:rPr>
        <w:t xml:space="preserve"> krav på säkerhet, hygien och avstånd kommer att ställas vid genomförande av större evenemang</w:t>
      </w:r>
      <w:r w:rsidR="5B7E91AE" w:rsidRPr="1E318009">
        <w:rPr>
          <w:rFonts w:ascii="Times New Roman" w:eastAsia="Times New Roman" w:hAnsi="Times New Roman" w:cs="Times New Roman"/>
          <w:color w:val="000000" w:themeColor="text1"/>
        </w:rPr>
        <w:t xml:space="preserve"> eller vid byggnation av </w:t>
      </w:r>
      <w:r w:rsidR="005F2DB0" w:rsidRPr="1E318009">
        <w:rPr>
          <w:rFonts w:ascii="Times New Roman" w:eastAsia="Times New Roman" w:hAnsi="Times New Roman" w:cs="Times New Roman"/>
          <w:color w:val="000000" w:themeColor="text1"/>
        </w:rPr>
        <w:t>till exempel</w:t>
      </w:r>
      <w:r w:rsidR="5B7E91AE" w:rsidRPr="1E318009">
        <w:rPr>
          <w:rFonts w:ascii="Times New Roman" w:eastAsia="Times New Roman" w:hAnsi="Times New Roman" w:cs="Times New Roman"/>
          <w:color w:val="000000" w:themeColor="text1"/>
        </w:rPr>
        <w:t xml:space="preserve"> nya arenor</w:t>
      </w:r>
      <w:r w:rsidR="28129CDA" w:rsidRPr="1E318009">
        <w:rPr>
          <w:rFonts w:ascii="Times New Roman" w:eastAsia="Times New Roman" w:hAnsi="Times New Roman" w:cs="Times New Roman"/>
          <w:color w:val="000000" w:themeColor="text1"/>
        </w:rPr>
        <w:t xml:space="preserve">, </w:t>
      </w:r>
      <w:r w:rsidR="5B7E91AE" w:rsidRPr="1E318009">
        <w:rPr>
          <w:rFonts w:ascii="Times New Roman" w:eastAsia="Times New Roman" w:hAnsi="Times New Roman" w:cs="Times New Roman"/>
          <w:color w:val="000000" w:themeColor="text1"/>
        </w:rPr>
        <w:t>köpcentrum</w:t>
      </w:r>
      <w:r w:rsidR="03A003BD" w:rsidRPr="1E318009">
        <w:rPr>
          <w:rFonts w:ascii="Times New Roman" w:eastAsia="Times New Roman" w:hAnsi="Times New Roman" w:cs="Times New Roman"/>
          <w:color w:val="000000" w:themeColor="text1"/>
        </w:rPr>
        <w:t xml:space="preserve"> eller flygplatser</w:t>
      </w:r>
      <w:r w:rsidR="091EA154" w:rsidRPr="1E318009">
        <w:rPr>
          <w:rFonts w:ascii="Times New Roman" w:eastAsia="Times New Roman" w:hAnsi="Times New Roman" w:cs="Times New Roman"/>
          <w:color w:val="000000" w:themeColor="text1"/>
        </w:rPr>
        <w:t>, för att säkerställa att besökar</w:t>
      </w:r>
      <w:r w:rsidR="11657025" w:rsidRPr="1E318009">
        <w:rPr>
          <w:rFonts w:ascii="Times New Roman" w:eastAsia="Times New Roman" w:hAnsi="Times New Roman" w:cs="Times New Roman"/>
          <w:color w:val="000000" w:themeColor="text1"/>
        </w:rPr>
        <w:t>na</w:t>
      </w:r>
      <w:r w:rsidR="091EA154" w:rsidRPr="1E318009">
        <w:rPr>
          <w:rFonts w:ascii="Times New Roman" w:eastAsia="Times New Roman" w:hAnsi="Times New Roman" w:cs="Times New Roman"/>
          <w:color w:val="000000" w:themeColor="text1"/>
        </w:rPr>
        <w:t xml:space="preserve"> </w:t>
      </w:r>
      <w:r w:rsidR="0B568485" w:rsidRPr="1E318009">
        <w:rPr>
          <w:rFonts w:ascii="Times New Roman" w:eastAsia="Times New Roman" w:hAnsi="Times New Roman" w:cs="Times New Roman"/>
          <w:color w:val="000000" w:themeColor="text1"/>
        </w:rPr>
        <w:t xml:space="preserve">kan </w:t>
      </w:r>
      <w:r w:rsidR="091EA154" w:rsidRPr="1E318009">
        <w:rPr>
          <w:rFonts w:ascii="Times New Roman" w:eastAsia="Times New Roman" w:hAnsi="Times New Roman" w:cs="Times New Roman"/>
          <w:color w:val="000000" w:themeColor="text1"/>
        </w:rPr>
        <w:t>känn</w:t>
      </w:r>
      <w:r w:rsidR="1FACD495" w:rsidRPr="1E318009">
        <w:rPr>
          <w:rFonts w:ascii="Times New Roman" w:eastAsia="Times New Roman" w:hAnsi="Times New Roman" w:cs="Times New Roman"/>
          <w:color w:val="000000" w:themeColor="text1"/>
        </w:rPr>
        <w:t xml:space="preserve">a </w:t>
      </w:r>
      <w:r w:rsidR="091EA154" w:rsidRPr="1E318009">
        <w:rPr>
          <w:rFonts w:ascii="Times New Roman" w:eastAsia="Times New Roman" w:hAnsi="Times New Roman" w:cs="Times New Roman"/>
          <w:color w:val="000000" w:themeColor="text1"/>
        </w:rPr>
        <w:t>sig trygg</w:t>
      </w:r>
      <w:r w:rsidR="0EE2FE4D" w:rsidRPr="1E318009">
        <w:rPr>
          <w:rFonts w:ascii="Times New Roman" w:eastAsia="Times New Roman" w:hAnsi="Times New Roman" w:cs="Times New Roman"/>
          <w:color w:val="000000" w:themeColor="text1"/>
        </w:rPr>
        <w:t>a</w:t>
      </w:r>
      <w:r w:rsidR="091EA154" w:rsidRPr="1E318009">
        <w:rPr>
          <w:rFonts w:ascii="Times New Roman" w:eastAsia="Times New Roman" w:hAnsi="Times New Roman" w:cs="Times New Roman"/>
          <w:color w:val="000000" w:themeColor="text1"/>
        </w:rPr>
        <w:t xml:space="preserve">. </w:t>
      </w:r>
    </w:p>
    <w:p w14:paraId="13EB00BF" w14:textId="17BEE66A" w:rsidR="7328303B" w:rsidRDefault="091EA154" w:rsidP="00484A33">
      <w:pPr>
        <w:spacing w:line="276" w:lineRule="auto"/>
        <w:rPr>
          <w:rFonts w:ascii="Times New Roman" w:eastAsia="Times New Roman" w:hAnsi="Times New Roman" w:cs="Times New Roman"/>
          <w:color w:val="000000" w:themeColor="text1"/>
          <w:highlight w:val="yellow"/>
        </w:rPr>
      </w:pPr>
      <w:r w:rsidRPr="1E318009">
        <w:rPr>
          <w:rFonts w:ascii="Times New Roman" w:eastAsia="Times New Roman" w:hAnsi="Times New Roman" w:cs="Times New Roman"/>
          <w:color w:val="000000" w:themeColor="text1"/>
        </w:rPr>
        <w:lastRenderedPageBreak/>
        <w:t>De</w:t>
      </w:r>
      <w:r w:rsidR="2B17F1AE" w:rsidRPr="1E318009">
        <w:rPr>
          <w:rFonts w:ascii="Times New Roman" w:eastAsia="Times New Roman" w:hAnsi="Times New Roman" w:cs="Times New Roman"/>
          <w:color w:val="000000" w:themeColor="text1"/>
        </w:rPr>
        <w:t>tta väntas påverka</w:t>
      </w:r>
      <w:r w:rsidRPr="1E318009">
        <w:rPr>
          <w:rFonts w:ascii="Times New Roman" w:eastAsia="Times New Roman" w:hAnsi="Times New Roman" w:cs="Times New Roman"/>
          <w:color w:val="000000" w:themeColor="text1"/>
        </w:rPr>
        <w:t xml:space="preserve"> arrangörer av större evenemang och möten, </w:t>
      </w:r>
      <w:r w:rsidR="261C511F" w:rsidRPr="1E318009">
        <w:rPr>
          <w:rFonts w:ascii="Times New Roman" w:eastAsia="Times New Roman" w:hAnsi="Times New Roman" w:cs="Times New Roman"/>
          <w:color w:val="000000" w:themeColor="text1"/>
        </w:rPr>
        <w:t xml:space="preserve">samt för </w:t>
      </w:r>
      <w:r w:rsidRPr="1E318009">
        <w:rPr>
          <w:rFonts w:ascii="Times New Roman" w:eastAsia="Times New Roman" w:hAnsi="Times New Roman" w:cs="Times New Roman"/>
          <w:color w:val="000000" w:themeColor="text1"/>
        </w:rPr>
        <w:t xml:space="preserve">besöksmål som samlar många människor på liten yta samt även transportaktörer. </w:t>
      </w:r>
      <w:r w:rsidR="12D81ECA" w:rsidRPr="1E318009">
        <w:rPr>
          <w:rFonts w:ascii="Times New Roman" w:eastAsia="Times New Roman" w:hAnsi="Times New Roman" w:cs="Times New Roman"/>
          <w:color w:val="000000" w:themeColor="text1"/>
        </w:rPr>
        <w:t xml:space="preserve">Att bygga ut för att skapa mer utrymme eller minska sin besökarkapacitet är </w:t>
      </w:r>
      <w:r w:rsidR="0122B8EA" w:rsidRPr="1E318009">
        <w:rPr>
          <w:rFonts w:ascii="Times New Roman" w:eastAsia="Times New Roman" w:hAnsi="Times New Roman" w:cs="Times New Roman"/>
          <w:color w:val="000000" w:themeColor="text1"/>
        </w:rPr>
        <w:t xml:space="preserve">en </w:t>
      </w:r>
      <w:r w:rsidR="12D81ECA" w:rsidRPr="1E318009">
        <w:rPr>
          <w:rFonts w:ascii="Times New Roman" w:eastAsia="Times New Roman" w:hAnsi="Times New Roman" w:cs="Times New Roman"/>
          <w:color w:val="000000" w:themeColor="text1"/>
        </w:rPr>
        <w:t xml:space="preserve">väg att gå. </w:t>
      </w:r>
      <w:r w:rsidR="6C471DB3" w:rsidRPr="1E318009">
        <w:rPr>
          <w:rFonts w:ascii="Times New Roman" w:eastAsia="Times New Roman" w:hAnsi="Times New Roman" w:cs="Times New Roman"/>
          <w:color w:val="000000" w:themeColor="text1"/>
        </w:rPr>
        <w:t>Digitala kösystem kan även vara behjälpliga för att hantera besöksflöden mer optimalt</w:t>
      </w:r>
      <w:r w:rsidR="23744381" w:rsidRPr="1E318009">
        <w:rPr>
          <w:rFonts w:ascii="Times New Roman" w:eastAsia="Times New Roman" w:hAnsi="Times New Roman" w:cs="Times New Roman"/>
          <w:color w:val="000000" w:themeColor="text1"/>
        </w:rPr>
        <w:t xml:space="preserve"> och undvika onödig trängsel</w:t>
      </w:r>
      <w:r w:rsidR="6C471DB3" w:rsidRPr="1E318009">
        <w:rPr>
          <w:rFonts w:ascii="Times New Roman" w:eastAsia="Times New Roman" w:hAnsi="Times New Roman" w:cs="Times New Roman"/>
          <w:color w:val="000000" w:themeColor="text1"/>
        </w:rPr>
        <w:t>.</w:t>
      </w:r>
      <w:r w:rsidR="4EC6CE5E" w:rsidRPr="1E318009">
        <w:rPr>
          <w:rFonts w:ascii="Times New Roman" w:eastAsia="Times New Roman" w:hAnsi="Times New Roman" w:cs="Times New Roman"/>
          <w:color w:val="000000" w:themeColor="text1"/>
        </w:rPr>
        <w:t xml:space="preserve"> Ett ökat säkerhetsfokus kan innebära ökade kostnader</w:t>
      </w:r>
      <w:r w:rsidR="7C7CAB41" w:rsidRPr="1E318009">
        <w:rPr>
          <w:rFonts w:ascii="Times New Roman" w:eastAsia="Times New Roman" w:hAnsi="Times New Roman" w:cs="Times New Roman"/>
          <w:color w:val="000000" w:themeColor="text1"/>
        </w:rPr>
        <w:t xml:space="preserve"> för näringens aktörer</w:t>
      </w:r>
      <w:r w:rsidR="4EC6CE5E" w:rsidRPr="1E318009">
        <w:rPr>
          <w:rFonts w:ascii="Times New Roman" w:eastAsia="Times New Roman" w:hAnsi="Times New Roman" w:cs="Times New Roman"/>
          <w:color w:val="000000" w:themeColor="text1"/>
        </w:rPr>
        <w:t>,</w:t>
      </w:r>
      <w:r w:rsidR="7F584DBA" w:rsidRPr="1E318009">
        <w:rPr>
          <w:rFonts w:ascii="Times New Roman" w:eastAsia="Times New Roman" w:hAnsi="Times New Roman" w:cs="Times New Roman"/>
          <w:color w:val="000000" w:themeColor="text1"/>
        </w:rPr>
        <w:t xml:space="preserve"> </w:t>
      </w:r>
      <w:r w:rsidR="4EC6CE5E" w:rsidRPr="1E318009">
        <w:rPr>
          <w:rFonts w:ascii="Times New Roman" w:eastAsia="Times New Roman" w:hAnsi="Times New Roman" w:cs="Times New Roman"/>
          <w:color w:val="000000" w:themeColor="text1"/>
        </w:rPr>
        <w:t xml:space="preserve">vilket </w:t>
      </w:r>
      <w:r w:rsidRPr="1E318009">
        <w:rPr>
          <w:rFonts w:ascii="Times New Roman" w:eastAsia="Times New Roman" w:hAnsi="Times New Roman" w:cs="Times New Roman"/>
          <w:color w:val="000000" w:themeColor="text1"/>
        </w:rPr>
        <w:t>kräver att</w:t>
      </w:r>
      <w:r w:rsidR="14F6482F" w:rsidRPr="1E318009">
        <w:rPr>
          <w:rFonts w:ascii="Times New Roman" w:eastAsia="Times New Roman" w:hAnsi="Times New Roman" w:cs="Times New Roman"/>
          <w:color w:val="000000" w:themeColor="text1"/>
        </w:rPr>
        <w:t xml:space="preserve"> de</w:t>
      </w:r>
      <w:r w:rsidRPr="1E318009">
        <w:rPr>
          <w:rFonts w:ascii="Times New Roman" w:eastAsia="Times New Roman" w:hAnsi="Times New Roman" w:cs="Times New Roman"/>
          <w:color w:val="000000" w:themeColor="text1"/>
        </w:rPr>
        <w:t xml:space="preserve"> hittar vägar till motsvarande intäkter. Det finns även möjlighet för mindre aktörer, med mindre besökskapacitet, att blomstra. Vissa konsumenter kommer helt enkelt föredra att se artister uppträda i en mindre lokal framför </w:t>
      </w:r>
      <w:r w:rsidR="4C040F89" w:rsidRPr="1E318009">
        <w:rPr>
          <w:rFonts w:ascii="Times New Roman" w:eastAsia="Times New Roman" w:hAnsi="Times New Roman" w:cs="Times New Roman"/>
          <w:color w:val="000000" w:themeColor="text1"/>
        </w:rPr>
        <w:t xml:space="preserve">att besöka </w:t>
      </w:r>
      <w:r w:rsidRPr="1E318009">
        <w:rPr>
          <w:rFonts w:ascii="Times New Roman" w:eastAsia="Times New Roman" w:hAnsi="Times New Roman" w:cs="Times New Roman"/>
          <w:color w:val="000000" w:themeColor="text1"/>
        </w:rPr>
        <w:t xml:space="preserve">en stor konsertarena eller besöka ett mindre galleri på landsbygden framför ett konstmuseum. </w:t>
      </w:r>
      <w:r>
        <w:br/>
      </w:r>
    </w:p>
    <w:p w14:paraId="5B73FD1E" w14:textId="6B20962B" w:rsidR="7328303B" w:rsidRDefault="089278B3" w:rsidP="00484A33">
      <w:pPr>
        <w:spacing w:line="276" w:lineRule="auto"/>
        <w:rPr>
          <w:rFonts w:ascii="Times New Roman" w:eastAsia="Times New Roman" w:hAnsi="Times New Roman" w:cs="Times New Roman"/>
          <w:color w:val="000000" w:themeColor="text1"/>
        </w:rPr>
      </w:pPr>
      <w:r w:rsidRPr="6F553BC0">
        <w:rPr>
          <w:rFonts w:ascii="Times New Roman" w:eastAsia="Times New Roman" w:hAnsi="Times New Roman" w:cs="Times New Roman"/>
          <w:color w:val="000000" w:themeColor="text1"/>
          <w:u w:val="single"/>
        </w:rPr>
        <w:t>Ökat intresse för natur och landsbygd</w:t>
      </w:r>
      <w:r w:rsidR="7328303B">
        <w:br/>
      </w:r>
      <w:r w:rsidR="22B6875D" w:rsidRPr="6F553BC0">
        <w:rPr>
          <w:rFonts w:ascii="Times New Roman" w:eastAsia="Times New Roman" w:hAnsi="Times New Roman" w:cs="Times New Roman"/>
          <w:color w:val="000000" w:themeColor="text1"/>
        </w:rPr>
        <w:t xml:space="preserve">Med en önskan om </w:t>
      </w:r>
      <w:r w:rsidRPr="6F553BC0">
        <w:rPr>
          <w:rFonts w:ascii="Times New Roman" w:eastAsia="Times New Roman" w:hAnsi="Times New Roman" w:cs="Times New Roman"/>
          <w:color w:val="000000" w:themeColor="text1"/>
        </w:rPr>
        <w:t xml:space="preserve">att undvika trängsel och folksamlingar </w:t>
      </w:r>
      <w:r w:rsidR="51E64343" w:rsidRPr="6F553BC0">
        <w:rPr>
          <w:rFonts w:ascii="Times New Roman" w:eastAsia="Times New Roman" w:hAnsi="Times New Roman" w:cs="Times New Roman"/>
          <w:color w:val="000000" w:themeColor="text1"/>
        </w:rPr>
        <w:t xml:space="preserve">fick </w:t>
      </w:r>
      <w:r w:rsidRPr="6F553BC0">
        <w:rPr>
          <w:rFonts w:ascii="Times New Roman" w:eastAsia="Times New Roman" w:hAnsi="Times New Roman" w:cs="Times New Roman"/>
          <w:color w:val="000000" w:themeColor="text1"/>
        </w:rPr>
        <w:t>utomhusaktiviteter</w:t>
      </w:r>
      <w:r w:rsidR="164BE6E7" w:rsidRPr="6F553BC0">
        <w:rPr>
          <w:rFonts w:ascii="Times New Roman" w:eastAsia="Times New Roman" w:hAnsi="Times New Roman" w:cs="Times New Roman"/>
          <w:color w:val="000000" w:themeColor="text1"/>
        </w:rPr>
        <w:t xml:space="preserve"> så</w:t>
      </w:r>
      <w:r w:rsidRPr="6F553BC0">
        <w:rPr>
          <w:rFonts w:ascii="Times New Roman" w:eastAsia="Times New Roman" w:hAnsi="Times New Roman" w:cs="Times New Roman"/>
          <w:color w:val="000000" w:themeColor="text1"/>
        </w:rPr>
        <w:t xml:space="preserve"> som fjällvandring, långfärdsskridskor och golf</w:t>
      </w:r>
      <w:r w:rsidR="7FE6EC76" w:rsidRPr="6F553BC0">
        <w:rPr>
          <w:rFonts w:ascii="Times New Roman" w:eastAsia="Times New Roman" w:hAnsi="Times New Roman" w:cs="Times New Roman"/>
          <w:color w:val="000000" w:themeColor="text1"/>
        </w:rPr>
        <w:t xml:space="preserve"> ett uppsving </w:t>
      </w:r>
      <w:r w:rsidRPr="6F553BC0">
        <w:rPr>
          <w:rFonts w:ascii="Times New Roman" w:eastAsia="Times New Roman" w:hAnsi="Times New Roman" w:cs="Times New Roman"/>
          <w:color w:val="000000" w:themeColor="text1"/>
        </w:rPr>
        <w:t>i Sverige under pandemin. Allt fler har fått upp ögonen för naturupplevelser och aktiviteter utanför städerna. Troligen kommer behovet av miljöombyte, aktivitet och rekreation finn</w:t>
      </w:r>
      <w:r w:rsidR="06F8636C" w:rsidRPr="6F553BC0">
        <w:rPr>
          <w:rFonts w:ascii="Times New Roman" w:eastAsia="Times New Roman" w:hAnsi="Times New Roman" w:cs="Times New Roman"/>
          <w:color w:val="000000" w:themeColor="text1"/>
        </w:rPr>
        <w:t>a</w:t>
      </w:r>
      <w:r w:rsidRPr="6F553BC0">
        <w:rPr>
          <w:rFonts w:ascii="Times New Roman" w:eastAsia="Times New Roman" w:hAnsi="Times New Roman" w:cs="Times New Roman"/>
          <w:color w:val="000000" w:themeColor="text1"/>
        </w:rPr>
        <w:t xml:space="preserve">s kvar hos befolkningen, </w:t>
      </w:r>
      <w:r w:rsidR="367B78E7" w:rsidRPr="6F553BC0">
        <w:rPr>
          <w:rFonts w:ascii="Times New Roman" w:eastAsia="Times New Roman" w:hAnsi="Times New Roman" w:cs="Times New Roman"/>
          <w:color w:val="000000" w:themeColor="text1"/>
        </w:rPr>
        <w:t xml:space="preserve">även om aktiviteter som konsertbesök och shopping i städerna </w:t>
      </w:r>
      <w:r w:rsidR="13A50F9B" w:rsidRPr="6F553BC0">
        <w:rPr>
          <w:rFonts w:ascii="Times New Roman" w:eastAsia="Times New Roman" w:hAnsi="Times New Roman" w:cs="Times New Roman"/>
          <w:color w:val="000000" w:themeColor="text1"/>
        </w:rPr>
        <w:t xml:space="preserve">givetvis </w:t>
      </w:r>
      <w:r w:rsidR="367B78E7" w:rsidRPr="6F553BC0">
        <w:rPr>
          <w:rFonts w:ascii="Times New Roman" w:eastAsia="Times New Roman" w:hAnsi="Times New Roman" w:cs="Times New Roman"/>
          <w:color w:val="000000" w:themeColor="text1"/>
        </w:rPr>
        <w:t>också kommer att locka besökare.</w:t>
      </w:r>
    </w:p>
    <w:p w14:paraId="452DF9E5" w14:textId="52DE161D" w:rsidR="7328303B" w:rsidRDefault="631EA75F" w:rsidP="00484A33">
      <w:pPr>
        <w:spacing w:line="276" w:lineRule="auto"/>
        <w:rPr>
          <w:rFonts w:ascii="Times New Roman" w:eastAsia="Times New Roman" w:hAnsi="Times New Roman" w:cs="Times New Roman"/>
          <w:color w:val="000000" w:themeColor="text1"/>
        </w:rPr>
      </w:pPr>
      <w:r w:rsidRPr="6F553BC0">
        <w:rPr>
          <w:rFonts w:ascii="Times New Roman" w:eastAsia="Times New Roman" w:hAnsi="Times New Roman" w:cs="Times New Roman"/>
          <w:color w:val="000000" w:themeColor="text1"/>
        </w:rPr>
        <w:t>För storstäder innebär detta ökade intresse för naturen och fysisk aktivitet en ökad konkurrens med andra, mer naturnära destinationer. Städer har historiskt sett stått för de stora volymerna av besökare</w:t>
      </w:r>
      <w:r w:rsidR="417E1F2C" w:rsidRPr="6F553BC0">
        <w:rPr>
          <w:rFonts w:ascii="Times New Roman" w:eastAsia="Times New Roman" w:hAnsi="Times New Roman" w:cs="Times New Roman"/>
          <w:color w:val="000000" w:themeColor="text1"/>
        </w:rPr>
        <w:t xml:space="preserve"> och en viss nedgång är inte helt osannolik då u</w:t>
      </w:r>
      <w:r w:rsidR="089278B3" w:rsidRPr="6F553BC0">
        <w:rPr>
          <w:rFonts w:ascii="Times New Roman" w:eastAsia="Times New Roman" w:hAnsi="Times New Roman" w:cs="Times New Roman"/>
          <w:color w:val="000000" w:themeColor="text1"/>
        </w:rPr>
        <w:t>pplevelsebehoven kan komma att skifta till mer folktomma platser och aktiviteter. Det kan samtidigt innebära en fördel för nordiska destinationer som är mer glesbefolkade och generellt har god närhet till naturupplevelser även i anslutning till större städer, i jämförelse med våra internationella motsvarigheter. Destinationer som kan erbjuda båd</w:t>
      </w:r>
      <w:r w:rsidR="0E8EB475" w:rsidRPr="6F553BC0">
        <w:rPr>
          <w:rFonts w:ascii="Times New Roman" w:eastAsia="Times New Roman" w:hAnsi="Times New Roman" w:cs="Times New Roman"/>
          <w:color w:val="000000" w:themeColor="text1"/>
        </w:rPr>
        <w:t xml:space="preserve">e och, dvs. stadspuls och naturens lugn, </w:t>
      </w:r>
      <w:r w:rsidR="089278B3" w:rsidRPr="6F553BC0">
        <w:rPr>
          <w:rFonts w:ascii="Times New Roman" w:eastAsia="Times New Roman" w:hAnsi="Times New Roman" w:cs="Times New Roman"/>
          <w:color w:val="000000" w:themeColor="text1"/>
        </w:rPr>
        <w:t>blir troligtvis mer attraktiva och kan locka till sig fler besökare, oavsett deras behov. Det ökade intresset för naturupplevelser och aktiviteter utanför städerna leder också till affärsmöjligheter för aktörer som kan paketera erbjudanden för att möta behoven.</w:t>
      </w:r>
      <w:r w:rsidR="7328303B">
        <w:br/>
      </w:r>
      <w:r w:rsidR="7328303B">
        <w:br/>
      </w:r>
      <w:r w:rsidR="19CBC664" w:rsidRPr="6F553BC0">
        <w:rPr>
          <w:rFonts w:ascii="Times New Roman" w:eastAsia="Times New Roman" w:hAnsi="Times New Roman" w:cs="Times New Roman"/>
          <w:color w:val="000000" w:themeColor="text1"/>
          <w:u w:val="single"/>
        </w:rPr>
        <w:t>Planering och bokning i s</w:t>
      </w:r>
      <w:r w:rsidR="091EA154" w:rsidRPr="6F553BC0">
        <w:rPr>
          <w:rFonts w:ascii="Times New Roman" w:eastAsia="Times New Roman" w:hAnsi="Times New Roman" w:cs="Times New Roman"/>
          <w:color w:val="000000" w:themeColor="text1"/>
          <w:u w:val="single"/>
        </w:rPr>
        <w:t>ista minuten</w:t>
      </w:r>
      <w:r w:rsidR="7328303B">
        <w:br/>
      </w:r>
      <w:r w:rsidR="66B552B5" w:rsidRPr="6F553BC0">
        <w:rPr>
          <w:rFonts w:ascii="Times New Roman" w:eastAsia="Times New Roman" w:hAnsi="Times New Roman" w:cs="Times New Roman"/>
          <w:color w:val="000000" w:themeColor="text1"/>
        </w:rPr>
        <w:t xml:space="preserve">Den globala pandemin gjorde att många konsumenter avvaktade med att boka och planera </w:t>
      </w:r>
      <w:r w:rsidR="005F2DB0" w:rsidRPr="6F553BC0">
        <w:rPr>
          <w:rFonts w:ascii="Times New Roman" w:eastAsia="Times New Roman" w:hAnsi="Times New Roman" w:cs="Times New Roman"/>
          <w:color w:val="000000" w:themeColor="text1"/>
        </w:rPr>
        <w:t>bland annat</w:t>
      </w:r>
      <w:r w:rsidR="66B552B5" w:rsidRPr="6F553BC0">
        <w:rPr>
          <w:rFonts w:ascii="Times New Roman" w:eastAsia="Times New Roman" w:hAnsi="Times New Roman" w:cs="Times New Roman"/>
          <w:color w:val="000000" w:themeColor="text1"/>
        </w:rPr>
        <w:t xml:space="preserve"> semesterresor och kulturbesök</w:t>
      </w:r>
      <w:r w:rsidR="3A786A36" w:rsidRPr="6F553BC0">
        <w:rPr>
          <w:rFonts w:ascii="Times New Roman" w:eastAsia="Times New Roman" w:hAnsi="Times New Roman" w:cs="Times New Roman"/>
          <w:color w:val="000000" w:themeColor="text1"/>
        </w:rPr>
        <w:t xml:space="preserve"> till sista minuten</w:t>
      </w:r>
      <w:r w:rsidR="66B552B5" w:rsidRPr="6F553BC0">
        <w:rPr>
          <w:rFonts w:ascii="Times New Roman" w:eastAsia="Times New Roman" w:hAnsi="Times New Roman" w:cs="Times New Roman"/>
          <w:color w:val="000000" w:themeColor="text1"/>
        </w:rPr>
        <w:t xml:space="preserve">. </w:t>
      </w:r>
      <w:r w:rsidR="2B87730D" w:rsidRPr="6F553BC0">
        <w:rPr>
          <w:rFonts w:ascii="Times New Roman" w:eastAsia="Times New Roman" w:hAnsi="Times New Roman" w:cs="Times New Roman"/>
          <w:color w:val="000000" w:themeColor="text1"/>
        </w:rPr>
        <w:t>Främst drivet av e</w:t>
      </w:r>
      <w:r w:rsidR="66B552B5" w:rsidRPr="6F553BC0">
        <w:rPr>
          <w:rFonts w:ascii="Times New Roman" w:eastAsia="Times New Roman" w:hAnsi="Times New Roman" w:cs="Times New Roman"/>
          <w:color w:val="000000" w:themeColor="text1"/>
        </w:rPr>
        <w:t>n oro för sena avbokni</w:t>
      </w:r>
      <w:r w:rsidR="2613D775" w:rsidRPr="6F553BC0">
        <w:rPr>
          <w:rFonts w:ascii="Times New Roman" w:eastAsia="Times New Roman" w:hAnsi="Times New Roman" w:cs="Times New Roman"/>
          <w:color w:val="000000" w:themeColor="text1"/>
        </w:rPr>
        <w:t>ng</w:t>
      </w:r>
      <w:r w:rsidR="66B552B5" w:rsidRPr="6F553BC0">
        <w:rPr>
          <w:rFonts w:ascii="Times New Roman" w:eastAsia="Times New Roman" w:hAnsi="Times New Roman" w:cs="Times New Roman"/>
          <w:color w:val="000000" w:themeColor="text1"/>
        </w:rPr>
        <w:t>ar</w:t>
      </w:r>
      <w:r w:rsidR="6F8D3325" w:rsidRPr="6F553BC0">
        <w:rPr>
          <w:rFonts w:ascii="Times New Roman" w:eastAsia="Times New Roman" w:hAnsi="Times New Roman" w:cs="Times New Roman"/>
          <w:color w:val="000000" w:themeColor="text1"/>
        </w:rPr>
        <w:t xml:space="preserve"> och att</w:t>
      </w:r>
      <w:r w:rsidR="4D9C066A" w:rsidRPr="6F553BC0">
        <w:rPr>
          <w:rFonts w:ascii="Times New Roman" w:eastAsia="Times New Roman" w:hAnsi="Times New Roman" w:cs="Times New Roman"/>
          <w:color w:val="000000" w:themeColor="text1"/>
        </w:rPr>
        <w:t xml:space="preserve"> då</w:t>
      </w:r>
      <w:r w:rsidR="6F8D3325" w:rsidRPr="6F553BC0">
        <w:rPr>
          <w:rFonts w:ascii="Times New Roman" w:eastAsia="Times New Roman" w:hAnsi="Times New Roman" w:cs="Times New Roman"/>
          <w:color w:val="000000" w:themeColor="text1"/>
        </w:rPr>
        <w:t xml:space="preserve"> inte få tillbaka sina pengar. </w:t>
      </w:r>
      <w:r w:rsidR="3F56A7E8" w:rsidRPr="6F553BC0">
        <w:rPr>
          <w:rFonts w:ascii="Times New Roman" w:eastAsia="Times New Roman" w:hAnsi="Times New Roman" w:cs="Times New Roman"/>
          <w:color w:val="000000" w:themeColor="text1"/>
        </w:rPr>
        <w:t>Detta har gjort att vissa konsumenter vant sig vid att planera sin fritid och semester med kortare varsel än tidigare</w:t>
      </w:r>
      <w:r w:rsidR="4196E47D" w:rsidRPr="6F553BC0">
        <w:rPr>
          <w:rFonts w:ascii="Times New Roman" w:eastAsia="Times New Roman" w:hAnsi="Times New Roman" w:cs="Times New Roman"/>
          <w:color w:val="000000" w:themeColor="text1"/>
        </w:rPr>
        <w:t xml:space="preserve"> samt att vissa söker tryggheten i att själv kunna avboka med kort varsel</w:t>
      </w:r>
      <w:r w:rsidR="3F56A7E8" w:rsidRPr="6F553BC0">
        <w:rPr>
          <w:rFonts w:ascii="Times New Roman" w:eastAsia="Times New Roman" w:hAnsi="Times New Roman" w:cs="Times New Roman"/>
          <w:color w:val="000000" w:themeColor="text1"/>
        </w:rPr>
        <w:t xml:space="preserve">. </w:t>
      </w:r>
    </w:p>
    <w:p w14:paraId="6076EC0F" w14:textId="12323FEF" w:rsidR="00364CE3" w:rsidRDefault="091EA154" w:rsidP="00484A33">
      <w:pPr>
        <w:spacing w:line="276" w:lineRule="auto"/>
        <w:rPr>
          <w:rFonts w:ascii="Times New Roman" w:eastAsia="Times New Roman" w:hAnsi="Times New Roman" w:cs="Times New Roman"/>
          <w:color w:val="000000" w:themeColor="text1"/>
        </w:rPr>
      </w:pPr>
      <w:r w:rsidRPr="7D0353C0">
        <w:rPr>
          <w:rFonts w:ascii="Times New Roman" w:eastAsia="Times New Roman" w:hAnsi="Times New Roman" w:cs="Times New Roman"/>
          <w:color w:val="000000" w:themeColor="text1"/>
        </w:rPr>
        <w:t xml:space="preserve">För näringen väntas detta innebära att </w:t>
      </w:r>
      <w:r w:rsidR="0CFABD5D" w:rsidRPr="7D0353C0">
        <w:rPr>
          <w:rFonts w:ascii="Times New Roman" w:eastAsia="Times New Roman" w:hAnsi="Times New Roman" w:cs="Times New Roman"/>
          <w:color w:val="000000" w:themeColor="text1"/>
        </w:rPr>
        <w:t>konsumenter</w:t>
      </w:r>
      <w:r w:rsidRPr="7D0353C0">
        <w:rPr>
          <w:rFonts w:ascii="Times New Roman" w:eastAsia="Times New Roman" w:hAnsi="Times New Roman" w:cs="Times New Roman"/>
          <w:color w:val="000000" w:themeColor="text1"/>
        </w:rPr>
        <w:t xml:space="preserve">, </w:t>
      </w:r>
      <w:r w:rsidR="6F1B45A0" w:rsidRPr="7D0353C0">
        <w:rPr>
          <w:rFonts w:ascii="Times New Roman" w:eastAsia="Times New Roman" w:hAnsi="Times New Roman" w:cs="Times New Roman"/>
          <w:color w:val="000000" w:themeColor="text1"/>
        </w:rPr>
        <w:t>framförallt i återhämtningsfasen</w:t>
      </w:r>
      <w:r w:rsidR="069426F9" w:rsidRPr="7D0353C0">
        <w:rPr>
          <w:rFonts w:ascii="Times New Roman" w:eastAsia="Times New Roman" w:hAnsi="Times New Roman" w:cs="Times New Roman"/>
          <w:color w:val="000000" w:themeColor="text1"/>
        </w:rPr>
        <w:t xml:space="preserve"> men </w:t>
      </w:r>
      <w:r w:rsidR="69210150" w:rsidRPr="7D0353C0">
        <w:rPr>
          <w:rFonts w:ascii="Times New Roman" w:eastAsia="Times New Roman" w:hAnsi="Times New Roman" w:cs="Times New Roman"/>
          <w:color w:val="000000" w:themeColor="text1"/>
        </w:rPr>
        <w:t xml:space="preserve">till viss del </w:t>
      </w:r>
      <w:r w:rsidR="069426F9" w:rsidRPr="7D0353C0">
        <w:rPr>
          <w:rFonts w:ascii="Times New Roman" w:eastAsia="Times New Roman" w:hAnsi="Times New Roman" w:cs="Times New Roman"/>
          <w:color w:val="000000" w:themeColor="text1"/>
        </w:rPr>
        <w:t>även fortsättningsvis</w:t>
      </w:r>
      <w:r w:rsidR="6F1B45A0" w:rsidRPr="7D0353C0">
        <w:rPr>
          <w:rFonts w:ascii="Times New Roman" w:eastAsia="Times New Roman" w:hAnsi="Times New Roman" w:cs="Times New Roman"/>
          <w:color w:val="000000" w:themeColor="text1"/>
        </w:rPr>
        <w:t>,</w:t>
      </w:r>
      <w:r w:rsidRPr="7D0353C0">
        <w:rPr>
          <w:rFonts w:ascii="Times New Roman" w:eastAsia="Times New Roman" w:hAnsi="Times New Roman" w:cs="Times New Roman"/>
          <w:color w:val="000000" w:themeColor="text1"/>
        </w:rPr>
        <w:t xml:space="preserve"> </w:t>
      </w:r>
      <w:r w:rsidR="40B1C6AF" w:rsidRPr="7D0353C0">
        <w:rPr>
          <w:rFonts w:ascii="Times New Roman" w:eastAsia="Times New Roman" w:hAnsi="Times New Roman" w:cs="Times New Roman"/>
          <w:color w:val="000000" w:themeColor="text1"/>
        </w:rPr>
        <w:t xml:space="preserve">förväntar sig </w:t>
      </w:r>
      <w:r w:rsidRPr="7D0353C0">
        <w:rPr>
          <w:rFonts w:ascii="Times New Roman" w:eastAsia="Times New Roman" w:hAnsi="Times New Roman" w:cs="Times New Roman"/>
          <w:color w:val="000000" w:themeColor="text1"/>
        </w:rPr>
        <w:t>generösa avbokningsvillkor</w:t>
      </w:r>
      <w:r w:rsidR="441F689E" w:rsidRPr="7D0353C0">
        <w:rPr>
          <w:rFonts w:ascii="Times New Roman" w:eastAsia="Times New Roman" w:hAnsi="Times New Roman" w:cs="Times New Roman"/>
          <w:color w:val="000000" w:themeColor="text1"/>
        </w:rPr>
        <w:t xml:space="preserve"> och tillgång till upplevelser så som teaterbesök och övernattningar på spa i sista minuten</w:t>
      </w:r>
      <w:r w:rsidRPr="7D0353C0">
        <w:rPr>
          <w:rFonts w:ascii="Times New Roman" w:eastAsia="Times New Roman" w:hAnsi="Times New Roman" w:cs="Times New Roman"/>
          <w:color w:val="000000" w:themeColor="text1"/>
        </w:rPr>
        <w:t xml:space="preserve">. </w:t>
      </w:r>
      <w:r w:rsidR="47EF41C7" w:rsidRPr="7D0353C0">
        <w:rPr>
          <w:rFonts w:ascii="Times New Roman" w:eastAsia="Times New Roman" w:hAnsi="Times New Roman" w:cs="Times New Roman"/>
          <w:color w:val="000000" w:themeColor="text1"/>
        </w:rPr>
        <w:t xml:space="preserve">Detta kan få påverkan på </w:t>
      </w:r>
      <w:r w:rsidR="29892153" w:rsidRPr="7D0353C0">
        <w:rPr>
          <w:rFonts w:ascii="Times New Roman" w:eastAsia="Times New Roman" w:hAnsi="Times New Roman" w:cs="Times New Roman"/>
          <w:color w:val="000000" w:themeColor="text1"/>
        </w:rPr>
        <w:t xml:space="preserve">hur </w:t>
      </w:r>
      <w:r w:rsidR="47EF41C7" w:rsidRPr="7D0353C0">
        <w:rPr>
          <w:rFonts w:ascii="Times New Roman" w:eastAsia="Times New Roman" w:hAnsi="Times New Roman" w:cs="Times New Roman"/>
          <w:color w:val="000000" w:themeColor="text1"/>
        </w:rPr>
        <w:t>avtals- och försäkringsvillkor</w:t>
      </w:r>
      <w:r w:rsidR="2B061C53" w:rsidRPr="7D0353C0">
        <w:rPr>
          <w:rFonts w:ascii="Times New Roman" w:eastAsia="Times New Roman" w:hAnsi="Times New Roman" w:cs="Times New Roman"/>
          <w:color w:val="000000" w:themeColor="text1"/>
        </w:rPr>
        <w:t xml:space="preserve"> formuleras</w:t>
      </w:r>
      <w:r w:rsidR="47EF41C7" w:rsidRPr="7D0353C0">
        <w:rPr>
          <w:rFonts w:ascii="Times New Roman" w:eastAsia="Times New Roman" w:hAnsi="Times New Roman" w:cs="Times New Roman"/>
          <w:color w:val="000000" w:themeColor="text1"/>
        </w:rPr>
        <w:t xml:space="preserve"> </w:t>
      </w:r>
      <w:r w:rsidR="13F60DBF" w:rsidRPr="7D0353C0">
        <w:rPr>
          <w:rFonts w:ascii="Times New Roman" w:eastAsia="Times New Roman" w:hAnsi="Times New Roman" w:cs="Times New Roman"/>
          <w:color w:val="000000" w:themeColor="text1"/>
        </w:rPr>
        <w:t>för</w:t>
      </w:r>
      <w:r w:rsidR="47EF41C7" w:rsidRPr="7D0353C0">
        <w:rPr>
          <w:rFonts w:ascii="Times New Roman" w:eastAsia="Times New Roman" w:hAnsi="Times New Roman" w:cs="Times New Roman"/>
          <w:color w:val="000000" w:themeColor="text1"/>
        </w:rPr>
        <w:t xml:space="preserve"> näringen</w:t>
      </w:r>
      <w:r w:rsidR="7BC98A40" w:rsidRPr="7D0353C0">
        <w:rPr>
          <w:rFonts w:ascii="Times New Roman" w:eastAsia="Times New Roman" w:hAnsi="Times New Roman" w:cs="Times New Roman"/>
          <w:color w:val="000000" w:themeColor="text1"/>
        </w:rPr>
        <w:t>s aktörer</w:t>
      </w:r>
      <w:r w:rsidR="47EF41C7" w:rsidRPr="7D0353C0">
        <w:rPr>
          <w:rFonts w:ascii="Times New Roman" w:eastAsia="Times New Roman" w:hAnsi="Times New Roman" w:cs="Times New Roman"/>
          <w:color w:val="000000" w:themeColor="text1"/>
        </w:rPr>
        <w:t xml:space="preserve"> och deras samarbetspartners. Det finns samtidigt mycket att vinna på</w:t>
      </w:r>
      <w:r w:rsidR="388F81F4" w:rsidRPr="7D0353C0">
        <w:rPr>
          <w:rFonts w:ascii="Times New Roman" w:eastAsia="Times New Roman" w:hAnsi="Times New Roman" w:cs="Times New Roman"/>
          <w:color w:val="000000" w:themeColor="text1"/>
        </w:rPr>
        <w:t xml:space="preserve"> att paketera erbjudande</w:t>
      </w:r>
      <w:r w:rsidR="47742558" w:rsidRPr="7D0353C0">
        <w:rPr>
          <w:rFonts w:ascii="Times New Roman" w:eastAsia="Times New Roman" w:hAnsi="Times New Roman" w:cs="Times New Roman"/>
          <w:color w:val="000000" w:themeColor="text1"/>
        </w:rPr>
        <w:t>n</w:t>
      </w:r>
      <w:r w:rsidR="388F81F4" w:rsidRPr="7D0353C0">
        <w:rPr>
          <w:rFonts w:ascii="Times New Roman" w:eastAsia="Times New Roman" w:hAnsi="Times New Roman" w:cs="Times New Roman"/>
          <w:color w:val="000000" w:themeColor="text1"/>
        </w:rPr>
        <w:t xml:space="preserve"> för att möta behoven hos konsumenter som </w:t>
      </w:r>
      <w:r w:rsidR="658EE44B" w:rsidRPr="7D0353C0">
        <w:rPr>
          <w:rFonts w:ascii="Times New Roman" w:eastAsia="Times New Roman" w:hAnsi="Times New Roman" w:cs="Times New Roman"/>
          <w:color w:val="000000" w:themeColor="text1"/>
        </w:rPr>
        <w:t xml:space="preserve">dels </w:t>
      </w:r>
      <w:r w:rsidR="388F81F4" w:rsidRPr="7D0353C0">
        <w:rPr>
          <w:rFonts w:ascii="Times New Roman" w:eastAsia="Times New Roman" w:hAnsi="Times New Roman" w:cs="Times New Roman"/>
          <w:color w:val="000000" w:themeColor="text1"/>
        </w:rPr>
        <w:t xml:space="preserve">söker trygga bokningar med </w:t>
      </w:r>
      <w:r w:rsidR="02C2873B" w:rsidRPr="7D0353C0">
        <w:rPr>
          <w:rFonts w:ascii="Times New Roman" w:eastAsia="Times New Roman" w:hAnsi="Times New Roman" w:cs="Times New Roman"/>
          <w:color w:val="000000" w:themeColor="text1"/>
        </w:rPr>
        <w:t xml:space="preserve">god </w:t>
      </w:r>
      <w:r w:rsidR="388F81F4" w:rsidRPr="7D0353C0">
        <w:rPr>
          <w:rFonts w:ascii="Times New Roman" w:eastAsia="Times New Roman" w:hAnsi="Times New Roman" w:cs="Times New Roman"/>
          <w:color w:val="000000" w:themeColor="text1"/>
        </w:rPr>
        <w:t>framförhållning</w:t>
      </w:r>
      <w:r w:rsidR="3C4D68C8" w:rsidRPr="7D0353C0">
        <w:rPr>
          <w:rFonts w:ascii="Times New Roman" w:eastAsia="Times New Roman" w:hAnsi="Times New Roman" w:cs="Times New Roman"/>
          <w:color w:val="000000" w:themeColor="text1"/>
        </w:rPr>
        <w:t xml:space="preserve"> samt dels fånga intresset hos dem som är ute efter en upplevelse i sista minuten. </w:t>
      </w:r>
      <w:r w:rsidR="388F81F4" w:rsidRPr="7D0353C0">
        <w:rPr>
          <w:rFonts w:ascii="Times New Roman" w:eastAsia="Times New Roman" w:hAnsi="Times New Roman" w:cs="Times New Roman"/>
          <w:color w:val="000000" w:themeColor="text1"/>
        </w:rPr>
        <w:t xml:space="preserve"> </w:t>
      </w:r>
      <w:r>
        <w:br/>
      </w:r>
    </w:p>
    <w:p w14:paraId="2CCB80DA" w14:textId="77777777" w:rsidR="00364CE3" w:rsidRDefault="00364CE3">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080160B3" w14:textId="6A7E21CA" w:rsidR="5EF79760" w:rsidRPr="00364CE3" w:rsidRDefault="2BC8C63B" w:rsidP="00364CE3">
      <w:pPr>
        <w:pStyle w:val="Rubrik2"/>
      </w:pPr>
      <w:bookmarkStart w:id="3" w:name="_Toc84334724"/>
      <w:r w:rsidRPr="00364CE3">
        <w:rPr>
          <w:rStyle w:val="normaltextrun"/>
        </w:rPr>
        <w:lastRenderedPageBreak/>
        <w:t xml:space="preserve">Fördjupningsmaterial: </w:t>
      </w:r>
      <w:r w:rsidR="7E7C6BBE" w:rsidRPr="00364CE3">
        <w:rPr>
          <w:rStyle w:val="normaltextrun"/>
        </w:rPr>
        <w:t>Programmets m</w:t>
      </w:r>
      <w:r w:rsidRPr="00364CE3">
        <w:rPr>
          <w:rStyle w:val="normaltextrun"/>
        </w:rPr>
        <w:t>ål och indikatorer</w:t>
      </w:r>
      <w:bookmarkEnd w:id="3"/>
    </w:p>
    <w:p w14:paraId="133701A2" w14:textId="5C54300D" w:rsidR="5EF79760" w:rsidRDefault="2BC8C63B" w:rsidP="00484A33">
      <w:pPr>
        <w:spacing w:beforeAutospacing="1" w:afterAutospacing="1" w:line="276" w:lineRule="auto"/>
        <w:rPr>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 xml:space="preserve">Följande </w:t>
      </w:r>
      <w:r w:rsidR="00364CE3">
        <w:rPr>
          <w:rStyle w:val="normaltextrun"/>
          <w:rFonts w:ascii="Times New Roman" w:eastAsia="Times New Roman" w:hAnsi="Times New Roman" w:cs="Times New Roman"/>
          <w:color w:val="000000" w:themeColor="text1"/>
        </w:rPr>
        <w:t>utgör</w:t>
      </w:r>
      <w:r w:rsidRPr="4E746557">
        <w:rPr>
          <w:rStyle w:val="normaltextrun"/>
          <w:rFonts w:ascii="Times New Roman" w:eastAsia="Times New Roman" w:hAnsi="Times New Roman" w:cs="Times New Roman"/>
          <w:color w:val="000000" w:themeColor="text1"/>
        </w:rPr>
        <w:t xml:space="preserve"> fördjupningsmaterial </w:t>
      </w:r>
      <w:r w:rsidR="168C7F3B" w:rsidRPr="4E746557">
        <w:rPr>
          <w:rStyle w:val="normaltextrun"/>
          <w:rFonts w:ascii="Times New Roman" w:eastAsia="Times New Roman" w:hAnsi="Times New Roman" w:cs="Times New Roman"/>
          <w:color w:val="000000" w:themeColor="text1"/>
        </w:rPr>
        <w:t xml:space="preserve">gällande </w:t>
      </w:r>
      <w:r w:rsidR="026766B8" w:rsidRPr="4E746557">
        <w:rPr>
          <w:rStyle w:val="normaltextrun"/>
          <w:rFonts w:ascii="Times New Roman" w:eastAsia="Times New Roman" w:hAnsi="Times New Roman" w:cs="Times New Roman"/>
          <w:color w:val="000000" w:themeColor="text1"/>
        </w:rPr>
        <w:t>mål</w:t>
      </w:r>
      <w:r w:rsidR="7ADE8BE3" w:rsidRPr="4E746557">
        <w:rPr>
          <w:rStyle w:val="normaltextrun"/>
          <w:rFonts w:ascii="Times New Roman" w:eastAsia="Times New Roman" w:hAnsi="Times New Roman" w:cs="Times New Roman"/>
          <w:color w:val="000000" w:themeColor="text1"/>
        </w:rPr>
        <w:t xml:space="preserve"> </w:t>
      </w:r>
      <w:r w:rsidRPr="4E746557">
        <w:rPr>
          <w:rStyle w:val="normaltextrun"/>
          <w:rFonts w:ascii="Times New Roman" w:eastAsia="Times New Roman" w:hAnsi="Times New Roman" w:cs="Times New Roman"/>
          <w:color w:val="000000" w:themeColor="text1"/>
        </w:rPr>
        <w:t xml:space="preserve">och indikatorer i </w:t>
      </w:r>
      <w:r w:rsidR="7FB7DA92" w:rsidRPr="4E746557">
        <w:rPr>
          <w:rStyle w:val="normaltextrun"/>
          <w:rFonts w:ascii="Times New Roman" w:eastAsia="Times New Roman" w:hAnsi="Times New Roman" w:cs="Times New Roman"/>
          <w:i/>
          <w:iCs/>
          <w:color w:val="000000" w:themeColor="text1"/>
        </w:rPr>
        <w:t>Göteborgs Stads program för besöksnäringens utveckling 2022–2030</w:t>
      </w:r>
      <w:r w:rsidRPr="4E746557">
        <w:rPr>
          <w:rStyle w:val="normaltextrun"/>
          <w:rFonts w:ascii="Times New Roman" w:eastAsia="Times New Roman" w:hAnsi="Times New Roman" w:cs="Times New Roman"/>
          <w:color w:val="000000" w:themeColor="text1"/>
        </w:rPr>
        <w:t xml:space="preserve">. Inom ramen för programmet har åtta </w:t>
      </w:r>
      <w:r w:rsidR="74E47AA4" w:rsidRPr="4E746557">
        <w:rPr>
          <w:rStyle w:val="normaltextrun"/>
          <w:rFonts w:ascii="Times New Roman" w:eastAsia="Times New Roman" w:hAnsi="Times New Roman" w:cs="Times New Roman"/>
          <w:color w:val="000000" w:themeColor="text1"/>
        </w:rPr>
        <w:t xml:space="preserve">mål </w:t>
      </w:r>
      <w:r w:rsidRPr="4E746557">
        <w:rPr>
          <w:rStyle w:val="normaltextrun"/>
          <w:rFonts w:ascii="Times New Roman" w:eastAsia="Times New Roman" w:hAnsi="Times New Roman" w:cs="Times New Roman"/>
          <w:color w:val="000000" w:themeColor="text1"/>
        </w:rPr>
        <w:t>med</w:t>
      </w:r>
      <w:r w:rsidRPr="4E746557">
        <w:rPr>
          <w:rStyle w:val="normaltextrun"/>
          <w:rFonts w:ascii="Times New Roman" w:eastAsia="Times New Roman" w:hAnsi="Times New Roman" w:cs="Times New Roman"/>
        </w:rPr>
        <w:t xml:space="preserve"> totalt 2</w:t>
      </w:r>
      <w:r w:rsidR="04BBEBDF" w:rsidRPr="4E746557">
        <w:rPr>
          <w:rStyle w:val="normaltextrun"/>
          <w:rFonts w:ascii="Times New Roman" w:eastAsia="Times New Roman" w:hAnsi="Times New Roman" w:cs="Times New Roman"/>
        </w:rPr>
        <w:t>0</w:t>
      </w:r>
      <w:r w:rsidRPr="4E746557">
        <w:rPr>
          <w:rStyle w:val="normaltextrun"/>
          <w:rFonts w:ascii="Times New Roman" w:eastAsia="Times New Roman" w:hAnsi="Times New Roman" w:cs="Times New Roman"/>
        </w:rPr>
        <w:t xml:space="preserve"> indikatorer formulerats. Dess</w:t>
      </w:r>
      <w:r w:rsidRPr="4E746557">
        <w:rPr>
          <w:rStyle w:val="normaltextrun"/>
          <w:rFonts w:ascii="Times New Roman" w:eastAsia="Times New Roman" w:hAnsi="Times New Roman" w:cs="Times New Roman"/>
          <w:color w:val="000000" w:themeColor="text1"/>
        </w:rPr>
        <w:t>a indikatorer möjliggör uppföljning för att säkerställa måluppfyllnad gä</w:t>
      </w:r>
      <w:r w:rsidR="00364CE3">
        <w:rPr>
          <w:rStyle w:val="normaltextrun"/>
          <w:rFonts w:ascii="Times New Roman" w:eastAsia="Times New Roman" w:hAnsi="Times New Roman" w:cs="Times New Roman"/>
          <w:color w:val="000000" w:themeColor="text1"/>
        </w:rPr>
        <w:t>l</w:t>
      </w:r>
      <w:r w:rsidRPr="4E746557">
        <w:rPr>
          <w:rStyle w:val="normaltextrun"/>
          <w:rFonts w:ascii="Times New Roman" w:eastAsia="Times New Roman" w:hAnsi="Times New Roman" w:cs="Times New Roman"/>
          <w:color w:val="000000" w:themeColor="text1"/>
        </w:rPr>
        <w:t xml:space="preserve">lande den övergripande målbilden “Hållbar destination 2030”. För att säkerställa att destinationen beaktar alla tre dimensioner av hållbarhet har tre övergripande målformuleringar skapats: </w:t>
      </w:r>
    </w:p>
    <w:p w14:paraId="115857A2" w14:textId="0E5CED2A" w:rsidR="5EF79760" w:rsidRPr="00364CE3" w:rsidRDefault="2BC8C63B" w:rsidP="00484A33">
      <w:pPr>
        <w:pStyle w:val="Liststycke"/>
        <w:numPr>
          <w:ilvl w:val="0"/>
          <w:numId w:val="16"/>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 xml:space="preserve">Välkomnande och inkluderande destination </w:t>
      </w:r>
    </w:p>
    <w:p w14:paraId="27F55650" w14:textId="4C3E90EB" w:rsidR="5EF79760" w:rsidRPr="00364CE3" w:rsidRDefault="2BC8C63B" w:rsidP="00484A33">
      <w:pPr>
        <w:pStyle w:val="Liststycke"/>
        <w:numPr>
          <w:ilvl w:val="0"/>
          <w:numId w:val="16"/>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 xml:space="preserve">Växande och välmående näring </w:t>
      </w:r>
    </w:p>
    <w:p w14:paraId="09693935" w14:textId="0963EE4A" w:rsidR="4075A125" w:rsidRPr="00364CE3" w:rsidRDefault="2BC8C63B" w:rsidP="00484A33">
      <w:pPr>
        <w:pStyle w:val="Liststycke"/>
        <w:numPr>
          <w:ilvl w:val="0"/>
          <w:numId w:val="16"/>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 xml:space="preserve">Miljö- och klimatsmart destination </w:t>
      </w:r>
    </w:p>
    <w:p w14:paraId="4C1B19C5" w14:textId="2795E046" w:rsidR="7328303B" w:rsidRDefault="4D466532" w:rsidP="00484A33">
      <w:pPr>
        <w:spacing w:beforeAutospacing="1" w:afterAutospacing="1"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M</w:t>
      </w:r>
      <w:r w:rsidR="2BC8C63B" w:rsidRPr="4E746557">
        <w:rPr>
          <w:rStyle w:val="normaltextrun"/>
          <w:rFonts w:ascii="Times New Roman" w:eastAsia="Times New Roman" w:hAnsi="Times New Roman" w:cs="Times New Roman"/>
          <w:color w:val="000000" w:themeColor="text1"/>
        </w:rPr>
        <w:t xml:space="preserve">ålen och indikatorerna presenteras nedan under de tre perspektiven; Besöka, Leva och Verka. </w:t>
      </w:r>
      <w:r w:rsidR="00F44E39">
        <w:rPr>
          <w:rStyle w:val="normaltextrun"/>
          <w:rFonts w:ascii="Times New Roman" w:eastAsia="Times New Roman" w:hAnsi="Times New Roman" w:cs="Times New Roman"/>
          <w:color w:val="000000" w:themeColor="text1"/>
        </w:rPr>
        <w:t xml:space="preserve">I programmet presenteras även ett </w:t>
      </w:r>
      <w:r w:rsidR="452DD6B9" w:rsidRPr="4E746557">
        <w:rPr>
          <w:rStyle w:val="normaltextrun"/>
          <w:rFonts w:ascii="Times New Roman" w:eastAsia="Times New Roman" w:hAnsi="Times New Roman" w:cs="Times New Roman"/>
          <w:color w:val="000000" w:themeColor="text1"/>
        </w:rPr>
        <w:t xml:space="preserve">nuläge samt ett målvärde </w:t>
      </w:r>
      <w:r w:rsidR="00F44E39">
        <w:rPr>
          <w:rStyle w:val="normaltextrun"/>
          <w:rFonts w:ascii="Times New Roman" w:eastAsia="Times New Roman" w:hAnsi="Times New Roman" w:cs="Times New Roman"/>
          <w:color w:val="000000" w:themeColor="text1"/>
        </w:rPr>
        <w:t>för respektive indikator</w:t>
      </w:r>
      <w:r w:rsidR="452DD6B9" w:rsidRPr="4E746557">
        <w:rPr>
          <w:rStyle w:val="normaltextrun"/>
          <w:rFonts w:ascii="Times New Roman" w:eastAsia="Times New Roman" w:hAnsi="Times New Roman" w:cs="Times New Roman"/>
          <w:color w:val="000000" w:themeColor="text1"/>
        </w:rPr>
        <w:t xml:space="preserve">. Det nuläge som programmet utgår från är i flera fall satt till år 2019, som är att betrakta som ett normalår för besöksnäringen. För flera indikatorer anges därtill även ett referensvärde för 2020 för att synliggöra pandemins effekt. </w:t>
      </w:r>
    </w:p>
    <w:p w14:paraId="438F4F96" w14:textId="714C63DF" w:rsidR="2E839103" w:rsidRDefault="452DD6B9" w:rsidP="00484A33">
      <w:pPr>
        <w:spacing w:beforeAutospacing="1" w:afterAutospacing="1"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 xml:space="preserve">I de fall data inte funnits tillgänglig via interna eller externa källor har </w:t>
      </w:r>
      <w:r w:rsidR="47DB5B98" w:rsidRPr="4E746557">
        <w:rPr>
          <w:rStyle w:val="normaltextrun"/>
          <w:rFonts w:ascii="Times New Roman" w:eastAsia="Times New Roman" w:hAnsi="Times New Roman" w:cs="Times New Roman"/>
          <w:color w:val="000000" w:themeColor="text1"/>
        </w:rPr>
        <w:t xml:space="preserve">egna </w:t>
      </w:r>
      <w:r w:rsidRPr="4E746557">
        <w:rPr>
          <w:rStyle w:val="normaltextrun"/>
          <w:rFonts w:ascii="Times New Roman" w:eastAsia="Times New Roman" w:hAnsi="Times New Roman" w:cs="Times New Roman"/>
          <w:color w:val="000000" w:themeColor="text1"/>
        </w:rPr>
        <w:t xml:space="preserve">undersökningar genomförts för att fastställa ett nuläge. Dessa undersökningar är genomförda under sommaren/hösten 2021. Det har gjorts dels en undersökning med invånare i Göteborgsregionen </w:t>
      </w:r>
      <w:r w:rsidR="10B4E644" w:rsidRPr="4E746557">
        <w:rPr>
          <w:rStyle w:val="normaltextrun"/>
          <w:rFonts w:ascii="Times New Roman" w:eastAsia="Times New Roman" w:hAnsi="Times New Roman" w:cs="Times New Roman"/>
          <w:color w:val="000000" w:themeColor="text1"/>
        </w:rPr>
        <w:t>(Invånarundersökning</w:t>
      </w:r>
      <w:r w:rsidR="005F2DB0" w:rsidRPr="4E746557">
        <w:rPr>
          <w:rStyle w:val="normaltextrun"/>
          <w:rFonts w:ascii="Times New Roman" w:eastAsia="Times New Roman" w:hAnsi="Times New Roman" w:cs="Times New Roman"/>
          <w:color w:val="000000" w:themeColor="text1"/>
        </w:rPr>
        <w:t>), dels</w:t>
      </w:r>
      <w:r w:rsidR="25EDCA27" w:rsidRPr="4E746557">
        <w:rPr>
          <w:rStyle w:val="normaltextrun"/>
          <w:rFonts w:ascii="Times New Roman" w:eastAsia="Times New Roman" w:hAnsi="Times New Roman" w:cs="Times New Roman"/>
          <w:color w:val="000000" w:themeColor="text1"/>
        </w:rPr>
        <w:t xml:space="preserve"> en undersökning med svenska besökare</w:t>
      </w:r>
      <w:r w:rsidR="323D10D2" w:rsidRPr="4E746557">
        <w:rPr>
          <w:rStyle w:val="normaltextrun"/>
          <w:rFonts w:ascii="Times New Roman" w:eastAsia="Times New Roman" w:hAnsi="Times New Roman" w:cs="Times New Roman"/>
          <w:color w:val="000000" w:themeColor="text1"/>
        </w:rPr>
        <w:t xml:space="preserve"> (Besökarundersökning)</w:t>
      </w:r>
      <w:r w:rsidR="25EDCA27" w:rsidRPr="4E746557">
        <w:rPr>
          <w:rStyle w:val="normaltextrun"/>
          <w:rFonts w:ascii="Times New Roman" w:eastAsia="Times New Roman" w:hAnsi="Times New Roman" w:cs="Times New Roman"/>
          <w:color w:val="000000" w:themeColor="text1"/>
        </w:rPr>
        <w:t xml:space="preserve">. Båda undersökningarna har genomförts via webbenkät med ett slumpmässigt urval </w:t>
      </w:r>
      <w:r w:rsidR="00364CE3">
        <w:rPr>
          <w:rStyle w:val="normaltextrun"/>
          <w:rFonts w:ascii="Times New Roman" w:eastAsia="Times New Roman" w:hAnsi="Times New Roman" w:cs="Times New Roman"/>
          <w:color w:val="000000" w:themeColor="text1"/>
        </w:rPr>
        <w:t xml:space="preserve">av </w:t>
      </w:r>
      <w:r w:rsidR="25EDCA27" w:rsidRPr="4E746557">
        <w:rPr>
          <w:rStyle w:val="normaltextrun"/>
          <w:rFonts w:ascii="Times New Roman" w:eastAsia="Times New Roman" w:hAnsi="Times New Roman" w:cs="Times New Roman"/>
          <w:color w:val="000000" w:themeColor="text1"/>
        </w:rPr>
        <w:t xml:space="preserve">svenskar i åldern </w:t>
      </w:r>
      <w:r w:rsidR="00364CE3" w:rsidRPr="4E746557">
        <w:rPr>
          <w:rStyle w:val="normaltextrun"/>
          <w:rFonts w:ascii="Times New Roman" w:eastAsia="Times New Roman" w:hAnsi="Times New Roman" w:cs="Times New Roman"/>
          <w:color w:val="000000" w:themeColor="text1"/>
        </w:rPr>
        <w:t>18–75</w:t>
      </w:r>
      <w:r w:rsidR="25EDCA27" w:rsidRPr="4E746557">
        <w:rPr>
          <w:rStyle w:val="normaltextrun"/>
          <w:rFonts w:ascii="Times New Roman" w:eastAsia="Times New Roman" w:hAnsi="Times New Roman" w:cs="Times New Roman"/>
          <w:color w:val="000000" w:themeColor="text1"/>
        </w:rPr>
        <w:t xml:space="preserve"> år. Besökare definieras som personer som besökt</w:t>
      </w:r>
      <w:r w:rsidR="435D07DC" w:rsidRPr="4E746557">
        <w:rPr>
          <w:rStyle w:val="normaltextrun"/>
          <w:rFonts w:ascii="Times New Roman" w:eastAsia="Times New Roman" w:hAnsi="Times New Roman" w:cs="Times New Roman"/>
          <w:color w:val="000000" w:themeColor="text1"/>
        </w:rPr>
        <w:t xml:space="preserve"> destinationen någon gång under de senaste tre åren. I vardera undersökning uppgick antalet svarande till </w:t>
      </w:r>
      <w:r w:rsidR="23901F64" w:rsidRPr="4E746557">
        <w:rPr>
          <w:rStyle w:val="normaltextrun"/>
          <w:rFonts w:ascii="Times New Roman" w:eastAsia="Times New Roman" w:hAnsi="Times New Roman" w:cs="Times New Roman"/>
          <w:color w:val="000000" w:themeColor="text1"/>
        </w:rPr>
        <w:t xml:space="preserve">minst </w:t>
      </w:r>
      <w:r w:rsidR="435D07DC" w:rsidRPr="4E746557">
        <w:rPr>
          <w:rStyle w:val="normaltextrun"/>
          <w:rFonts w:ascii="Times New Roman" w:eastAsia="Times New Roman" w:hAnsi="Times New Roman" w:cs="Times New Roman"/>
          <w:color w:val="000000" w:themeColor="text1"/>
        </w:rPr>
        <w:t>1</w:t>
      </w:r>
      <w:r w:rsidR="66F2F5FD" w:rsidRPr="4E746557">
        <w:rPr>
          <w:rStyle w:val="normaltextrun"/>
          <w:rFonts w:ascii="Times New Roman" w:eastAsia="Times New Roman" w:hAnsi="Times New Roman" w:cs="Times New Roman"/>
          <w:color w:val="000000" w:themeColor="text1"/>
        </w:rPr>
        <w:t xml:space="preserve"> </w:t>
      </w:r>
      <w:r w:rsidR="435D07DC" w:rsidRPr="4E746557">
        <w:rPr>
          <w:rStyle w:val="normaltextrun"/>
          <w:rFonts w:ascii="Times New Roman" w:eastAsia="Times New Roman" w:hAnsi="Times New Roman" w:cs="Times New Roman"/>
          <w:color w:val="000000" w:themeColor="text1"/>
        </w:rPr>
        <w:t xml:space="preserve">000 personer. </w:t>
      </w:r>
    </w:p>
    <w:p w14:paraId="730EDC1C" w14:textId="41A3CE27" w:rsidR="28231C7C" w:rsidRDefault="4CB690D9" w:rsidP="00484A33">
      <w:pPr>
        <w:spacing w:beforeAutospacing="1" w:afterAutospacing="1"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Samtlig statistik som avser övernattningar på hotell, stugbyar</w:t>
      </w:r>
      <w:r w:rsidR="4158AE38" w:rsidRPr="4E746557">
        <w:rPr>
          <w:rStyle w:val="normaltextrun"/>
          <w:rFonts w:ascii="Times New Roman" w:eastAsia="Times New Roman" w:hAnsi="Times New Roman" w:cs="Times New Roman"/>
          <w:color w:val="000000" w:themeColor="text1"/>
        </w:rPr>
        <w:t xml:space="preserve"> och </w:t>
      </w:r>
      <w:r w:rsidRPr="4E746557">
        <w:rPr>
          <w:rStyle w:val="normaltextrun"/>
          <w:rFonts w:ascii="Times New Roman" w:eastAsia="Times New Roman" w:hAnsi="Times New Roman" w:cs="Times New Roman"/>
          <w:color w:val="000000" w:themeColor="text1"/>
        </w:rPr>
        <w:t>vandrarhem</w:t>
      </w:r>
      <w:r w:rsidR="7E023477" w:rsidRPr="4E746557">
        <w:rPr>
          <w:rStyle w:val="normaltextrun"/>
          <w:rFonts w:ascii="Times New Roman" w:eastAsia="Times New Roman" w:hAnsi="Times New Roman" w:cs="Times New Roman"/>
          <w:color w:val="000000" w:themeColor="text1"/>
        </w:rPr>
        <w:t xml:space="preserve"> </w:t>
      </w:r>
      <w:r w:rsidRPr="4E746557">
        <w:rPr>
          <w:rStyle w:val="normaltextrun"/>
          <w:rFonts w:ascii="Times New Roman" w:eastAsia="Times New Roman" w:hAnsi="Times New Roman" w:cs="Times New Roman"/>
          <w:color w:val="000000" w:themeColor="text1"/>
        </w:rPr>
        <w:t>är hämtad från</w:t>
      </w:r>
      <w:r w:rsidR="618ADE0F" w:rsidRPr="4E746557">
        <w:rPr>
          <w:rStyle w:val="normaltextrun"/>
          <w:rFonts w:ascii="Times New Roman" w:eastAsia="Times New Roman" w:hAnsi="Times New Roman" w:cs="Times New Roman"/>
          <w:color w:val="000000" w:themeColor="text1"/>
        </w:rPr>
        <w:t xml:space="preserve"> </w:t>
      </w:r>
      <w:r w:rsidRPr="4E746557">
        <w:rPr>
          <w:rStyle w:val="normaltextrun"/>
          <w:rFonts w:ascii="Times New Roman" w:eastAsia="Times New Roman" w:hAnsi="Times New Roman" w:cs="Times New Roman"/>
          <w:color w:val="000000" w:themeColor="text1"/>
        </w:rPr>
        <w:t>SCB</w:t>
      </w:r>
      <w:r w:rsidR="7D44F1CF" w:rsidRPr="4E746557">
        <w:rPr>
          <w:rStyle w:val="normaltextrun"/>
          <w:rFonts w:ascii="Times New Roman" w:eastAsia="Times New Roman" w:hAnsi="Times New Roman" w:cs="Times New Roman"/>
          <w:color w:val="000000" w:themeColor="text1"/>
        </w:rPr>
        <w:t>:</w:t>
      </w:r>
      <w:r w:rsidRPr="4E746557">
        <w:rPr>
          <w:rStyle w:val="normaltextrun"/>
          <w:rFonts w:ascii="Times New Roman" w:eastAsia="Times New Roman" w:hAnsi="Times New Roman" w:cs="Times New Roman"/>
          <w:color w:val="000000" w:themeColor="text1"/>
        </w:rPr>
        <w:t>s Inkvarteringsstatistik</w:t>
      </w:r>
      <w:r w:rsidR="44F9091D" w:rsidRPr="4E746557">
        <w:rPr>
          <w:rStyle w:val="normaltextrun"/>
          <w:rFonts w:ascii="Times New Roman" w:eastAsia="Times New Roman" w:hAnsi="Times New Roman" w:cs="Times New Roman"/>
          <w:color w:val="000000" w:themeColor="text1"/>
        </w:rPr>
        <w:t xml:space="preserve"> som månatligen redovisar</w:t>
      </w:r>
      <w:r w:rsidR="3FB3E6F0" w:rsidRPr="4E746557">
        <w:rPr>
          <w:rStyle w:val="normaltextrun"/>
          <w:rFonts w:ascii="Times New Roman" w:eastAsia="Times New Roman" w:hAnsi="Times New Roman" w:cs="Times New Roman"/>
          <w:color w:val="000000" w:themeColor="text1"/>
        </w:rPr>
        <w:t xml:space="preserve"> </w:t>
      </w:r>
      <w:r w:rsidR="005F2DB0" w:rsidRPr="4E746557">
        <w:rPr>
          <w:rStyle w:val="normaltextrun"/>
          <w:rFonts w:ascii="Times New Roman" w:eastAsia="Times New Roman" w:hAnsi="Times New Roman" w:cs="Times New Roman"/>
          <w:color w:val="000000" w:themeColor="text1"/>
        </w:rPr>
        <w:t>bland annat</w:t>
      </w:r>
      <w:r w:rsidR="3FB3E6F0" w:rsidRPr="4E746557">
        <w:rPr>
          <w:rStyle w:val="normaltextrun"/>
          <w:rFonts w:ascii="Times New Roman" w:eastAsia="Times New Roman" w:hAnsi="Times New Roman" w:cs="Times New Roman"/>
          <w:color w:val="000000" w:themeColor="text1"/>
        </w:rPr>
        <w:t xml:space="preserve"> </w:t>
      </w:r>
      <w:r w:rsidR="44F9091D" w:rsidRPr="4E746557">
        <w:rPr>
          <w:rStyle w:val="normaltextrun"/>
          <w:rFonts w:ascii="Times New Roman" w:eastAsia="Times New Roman" w:hAnsi="Times New Roman" w:cs="Times New Roman"/>
          <w:color w:val="000000" w:themeColor="text1"/>
        </w:rPr>
        <w:t>antalet genomförda gästnätter på kommersiella boendeanläggningar, ka</w:t>
      </w:r>
      <w:r w:rsidR="6032ED4B" w:rsidRPr="4E746557">
        <w:rPr>
          <w:rStyle w:val="normaltextrun"/>
          <w:rFonts w:ascii="Times New Roman" w:eastAsia="Times New Roman" w:hAnsi="Times New Roman" w:cs="Times New Roman"/>
          <w:color w:val="000000" w:themeColor="text1"/>
        </w:rPr>
        <w:t>pacitetsutnyttjande, vistelselängd samt besökarnas nationalitetsfördelning</w:t>
      </w:r>
      <w:r w:rsidRPr="4E746557">
        <w:rPr>
          <w:rStyle w:val="normaltextrun"/>
          <w:rFonts w:ascii="Times New Roman" w:eastAsia="Times New Roman" w:hAnsi="Times New Roman" w:cs="Times New Roman"/>
          <w:color w:val="000000" w:themeColor="text1"/>
        </w:rPr>
        <w:t xml:space="preserve">. </w:t>
      </w:r>
      <w:r w:rsidR="3AFBF219" w:rsidRPr="4E746557">
        <w:rPr>
          <w:rStyle w:val="normaltextrun"/>
          <w:rFonts w:ascii="Times New Roman" w:eastAsia="Times New Roman" w:hAnsi="Times New Roman" w:cs="Times New Roman"/>
          <w:color w:val="000000" w:themeColor="text1"/>
        </w:rPr>
        <w:t>SC</w:t>
      </w:r>
      <w:r w:rsidR="00364CE3">
        <w:rPr>
          <w:rStyle w:val="normaltextrun"/>
          <w:rFonts w:ascii="Times New Roman" w:eastAsia="Times New Roman" w:hAnsi="Times New Roman" w:cs="Times New Roman"/>
          <w:color w:val="000000" w:themeColor="text1"/>
        </w:rPr>
        <w:t>B</w:t>
      </w:r>
      <w:r w:rsidR="3AFBF219" w:rsidRPr="4E746557">
        <w:rPr>
          <w:rStyle w:val="normaltextrun"/>
          <w:rFonts w:ascii="Times New Roman" w:eastAsia="Times New Roman" w:hAnsi="Times New Roman" w:cs="Times New Roman"/>
          <w:color w:val="000000" w:themeColor="text1"/>
        </w:rPr>
        <w:t xml:space="preserve"> ansvarar även för sammanställningen av statistik</w:t>
      </w:r>
      <w:r w:rsidR="044018A0" w:rsidRPr="4E746557">
        <w:rPr>
          <w:rStyle w:val="normaltextrun"/>
          <w:rFonts w:ascii="Times New Roman" w:eastAsia="Times New Roman" w:hAnsi="Times New Roman" w:cs="Times New Roman"/>
          <w:color w:val="000000" w:themeColor="text1"/>
        </w:rPr>
        <w:t xml:space="preserve"> gällande övernattningar på </w:t>
      </w:r>
      <w:r w:rsidR="3AFBF219" w:rsidRPr="4E746557">
        <w:rPr>
          <w:rStyle w:val="normaltextrun"/>
          <w:rFonts w:ascii="Times New Roman" w:eastAsia="Times New Roman" w:hAnsi="Times New Roman" w:cs="Times New Roman"/>
          <w:color w:val="000000" w:themeColor="text1"/>
        </w:rPr>
        <w:t xml:space="preserve">campingplatser. </w:t>
      </w:r>
    </w:p>
    <w:p w14:paraId="455A1065" w14:textId="77777777" w:rsidR="00364CE3" w:rsidRDefault="7C464F30" w:rsidP="00484A33">
      <w:pPr>
        <w:spacing w:beforeAutospacing="1" w:afterAutospacing="1"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Givet den osäkerhet som under 2021 råder kring besöksnäringens återhämtning efter pandemin har utgångspunkten vid målsättning av flera av de utvalda indikatorerna varit att initialt återgå till den nivå som noterades 2019, vilket anses vara ett normalår. Då bilden klarnar över återhämtningen, s</w:t>
      </w:r>
      <w:r w:rsidR="6C80A989" w:rsidRPr="4E746557">
        <w:rPr>
          <w:rStyle w:val="normaltextrun"/>
          <w:rFonts w:ascii="Times New Roman" w:eastAsia="Times New Roman" w:hAnsi="Times New Roman" w:cs="Times New Roman"/>
          <w:color w:val="000000" w:themeColor="text1"/>
        </w:rPr>
        <w:t xml:space="preserve">peciellt </w:t>
      </w:r>
      <w:r w:rsidRPr="4E746557">
        <w:rPr>
          <w:rStyle w:val="normaltextrun"/>
          <w:rFonts w:ascii="Times New Roman" w:eastAsia="Times New Roman" w:hAnsi="Times New Roman" w:cs="Times New Roman"/>
          <w:color w:val="000000" w:themeColor="text1"/>
        </w:rPr>
        <w:t>för affärsresandet och det långväga resandet, planeras målen att ses över för att eventuellt revideras.</w:t>
      </w:r>
    </w:p>
    <w:p w14:paraId="342F6BD4" w14:textId="2B33C843" w:rsidR="4075A125" w:rsidRPr="00364CE3" w:rsidRDefault="5EF79760" w:rsidP="00484A33">
      <w:pPr>
        <w:spacing w:beforeAutospacing="1" w:afterAutospacing="1" w:line="276" w:lineRule="auto"/>
        <w:rPr>
          <w:rFonts w:ascii="Times New Roman" w:eastAsia="Times New Roman" w:hAnsi="Times New Roman" w:cs="Times New Roman"/>
          <w:color w:val="000000" w:themeColor="text1"/>
          <w:sz w:val="24"/>
          <w:szCs w:val="24"/>
        </w:rPr>
      </w:pPr>
      <w:r w:rsidRPr="4075A125">
        <w:rPr>
          <w:rStyle w:val="normaltextrun"/>
          <w:rFonts w:ascii="Times New Roman" w:eastAsia="Times New Roman" w:hAnsi="Times New Roman" w:cs="Times New Roman"/>
          <w:b/>
          <w:bCs/>
          <w:color w:val="000000" w:themeColor="text1"/>
          <w:sz w:val="24"/>
          <w:szCs w:val="24"/>
        </w:rPr>
        <w:t>Perspektiv: Besöka</w:t>
      </w:r>
    </w:p>
    <w:p w14:paraId="68156202" w14:textId="41BC0AAF" w:rsidR="5EF79760" w:rsidRPr="00364CE3" w:rsidRDefault="5EF79760" w:rsidP="00484A33">
      <w:pPr>
        <w:pStyle w:val="Liststycke"/>
        <w:numPr>
          <w:ilvl w:val="0"/>
          <w:numId w:val="15"/>
        </w:numPr>
        <w:spacing w:beforeAutospacing="1" w:afterAutospacing="1" w:line="276" w:lineRule="auto"/>
        <w:rPr>
          <w:rFonts w:ascii="Times New Roman" w:eastAsia="Times New Roman" w:hAnsi="Times New Roman" w:cs="Times New Roman"/>
          <w:b/>
          <w:bCs/>
          <w:color w:val="000000" w:themeColor="text1"/>
        </w:rPr>
      </w:pPr>
      <w:r w:rsidRPr="00364CE3">
        <w:rPr>
          <w:rStyle w:val="normaltextrun"/>
          <w:rFonts w:ascii="Times New Roman" w:eastAsia="Times New Roman" w:hAnsi="Times New Roman" w:cs="Times New Roman"/>
          <w:b/>
          <w:bCs/>
          <w:color w:val="000000" w:themeColor="text1"/>
        </w:rPr>
        <w:t xml:space="preserve">Alla </w:t>
      </w:r>
      <w:r w:rsidR="581CF858" w:rsidRPr="00364CE3">
        <w:rPr>
          <w:rStyle w:val="normaltextrun"/>
          <w:rFonts w:ascii="Times New Roman" w:eastAsia="Times New Roman" w:hAnsi="Times New Roman" w:cs="Times New Roman"/>
          <w:b/>
          <w:bCs/>
          <w:color w:val="000000" w:themeColor="text1"/>
        </w:rPr>
        <w:t xml:space="preserve">ska känna sig </w:t>
      </w:r>
      <w:r w:rsidRPr="00364CE3">
        <w:rPr>
          <w:rStyle w:val="normaltextrun"/>
          <w:rFonts w:ascii="Times New Roman" w:eastAsia="Times New Roman" w:hAnsi="Times New Roman" w:cs="Times New Roman"/>
          <w:b/>
          <w:bCs/>
          <w:color w:val="000000" w:themeColor="text1"/>
        </w:rPr>
        <w:t xml:space="preserve">välkomna till destinationen Göteborg </w:t>
      </w:r>
    </w:p>
    <w:p w14:paraId="4020AF1A" w14:textId="02E6B23A" w:rsidR="4075A125" w:rsidRDefault="5EF79760" w:rsidP="00484A33">
      <w:pPr>
        <w:spacing w:beforeAutospacing="1" w:afterAutospacing="1" w:line="276" w:lineRule="auto"/>
        <w:rPr>
          <w:rFonts w:ascii="Times New Roman" w:eastAsia="Times New Roman" w:hAnsi="Times New Roman" w:cs="Times New Roman"/>
          <w:color w:val="000000" w:themeColor="text1"/>
        </w:rPr>
      </w:pPr>
      <w:r w:rsidRPr="458B65FA">
        <w:rPr>
          <w:rStyle w:val="normaltextrun"/>
          <w:rFonts w:ascii="Times New Roman" w:eastAsia="Times New Roman" w:hAnsi="Times New Roman" w:cs="Times New Roman"/>
          <w:color w:val="000000" w:themeColor="text1"/>
        </w:rPr>
        <w:t xml:space="preserve">Destinationen Göteborg ska vara en välkomnande och inkluderande destination där varje besökare känner sig trygg och respekterad. Destinationen präglas av mångfald och besökarna väljer Göteborg av flera olika anledningar. Det kan vara för att ta del av konst- och kulturupplevelser, musikfestivaler eller idrottsevenemang, för att shoppa eller </w:t>
      </w:r>
      <w:r w:rsidR="4C42203D" w:rsidRPr="458B65FA">
        <w:rPr>
          <w:rStyle w:val="normaltextrun"/>
          <w:rFonts w:ascii="Times New Roman" w:eastAsia="Times New Roman" w:hAnsi="Times New Roman" w:cs="Times New Roman"/>
          <w:color w:val="000000" w:themeColor="text1"/>
        </w:rPr>
        <w:t>för att äta gott</w:t>
      </w:r>
      <w:r w:rsidRPr="458B65FA">
        <w:rPr>
          <w:rStyle w:val="normaltextrun"/>
          <w:rFonts w:ascii="Times New Roman" w:eastAsia="Times New Roman" w:hAnsi="Times New Roman" w:cs="Times New Roman"/>
          <w:color w:val="000000" w:themeColor="text1"/>
        </w:rPr>
        <w:t xml:space="preserve">. Det görs också många besök i syfte att utbyta erfarenheter, presentera ny forskning och fördjupa sin kunskap </w:t>
      </w:r>
      <w:r w:rsidR="005F2DB0" w:rsidRPr="458B65FA">
        <w:rPr>
          <w:rStyle w:val="normaltextrun"/>
          <w:rFonts w:ascii="Times New Roman" w:eastAsia="Times New Roman" w:hAnsi="Times New Roman" w:cs="Times New Roman"/>
          <w:color w:val="000000" w:themeColor="text1"/>
        </w:rPr>
        <w:t>till exempel</w:t>
      </w:r>
      <w:r w:rsidRPr="458B65FA">
        <w:rPr>
          <w:rStyle w:val="normaltextrun"/>
          <w:rFonts w:ascii="Times New Roman" w:eastAsia="Times New Roman" w:hAnsi="Times New Roman" w:cs="Times New Roman"/>
          <w:color w:val="000000" w:themeColor="text1"/>
        </w:rPr>
        <w:t xml:space="preserve"> genom besök på internationella kongresser och mässor. Många besök är knutna till lärande, nätverkande och utbildning </w:t>
      </w:r>
      <w:r w:rsidRPr="458B65FA">
        <w:rPr>
          <w:rStyle w:val="normaltextrun"/>
          <w:rFonts w:ascii="Times New Roman" w:eastAsia="Times New Roman" w:hAnsi="Times New Roman" w:cs="Times New Roman"/>
          <w:color w:val="000000" w:themeColor="text1"/>
        </w:rPr>
        <w:lastRenderedPageBreak/>
        <w:t xml:space="preserve">inom akademi och forskning. En annan besöksanledning är rekreation och att vistas i naturområden samt att besöka kulturarv. Därtill kommer många till Göteborg för att besöka släktingar och vänner, destinationens alla invånare. Göteborg erbjuder något för alla smaker och intressen. </w:t>
      </w:r>
    </w:p>
    <w:p w14:paraId="344D3AD3" w14:textId="0BCA7FA7" w:rsidR="7328303B" w:rsidRDefault="5EF79760" w:rsidP="00484A33">
      <w:pPr>
        <w:spacing w:beforeAutospacing="1" w:afterAutospacing="1" w:line="276" w:lineRule="auto"/>
        <w:rPr>
          <w:rStyle w:val="normaltextrun"/>
          <w:rFonts w:ascii="Times New Roman" w:eastAsia="Times New Roman" w:hAnsi="Times New Roman" w:cs="Times New Roman"/>
          <w:color w:val="000000" w:themeColor="text1"/>
        </w:rPr>
      </w:pPr>
      <w:r w:rsidRPr="7328303B">
        <w:rPr>
          <w:rStyle w:val="normaltextrun"/>
          <w:rFonts w:ascii="Times New Roman" w:eastAsia="Times New Roman" w:hAnsi="Times New Roman" w:cs="Times New Roman"/>
          <w:color w:val="000000" w:themeColor="text1"/>
        </w:rPr>
        <w:t xml:space="preserve">Göteborgs stads arbete mot uppsatta mål om ökad jämlikhet, tillgänglighet, jämställdhet, antirasism och icke-diskriminering bidrar till att destinationen blir en mer attraktiv och tryggare plats att besöka. En hållbar destination ska upplevas som en trygg och säker plats där det finns möjligheter att röra sig fritt och delta i destinationens breda utbud av upplevelser. Deltagandet sker utan rädsla för att utsättas för brott riktade mot sina tillhörigheter såväl som diskriminering på grund av </w:t>
      </w:r>
      <w:r w:rsidR="005F2DB0" w:rsidRPr="7328303B">
        <w:rPr>
          <w:rStyle w:val="normaltextrun"/>
          <w:rFonts w:ascii="Times New Roman" w:eastAsia="Times New Roman" w:hAnsi="Times New Roman" w:cs="Times New Roman"/>
          <w:color w:val="000000" w:themeColor="text1"/>
        </w:rPr>
        <w:t>till exempel</w:t>
      </w:r>
      <w:r w:rsidRPr="7328303B">
        <w:rPr>
          <w:rStyle w:val="normaltextrun"/>
          <w:rFonts w:ascii="Times New Roman" w:eastAsia="Times New Roman" w:hAnsi="Times New Roman" w:cs="Times New Roman"/>
          <w:color w:val="000000" w:themeColor="text1"/>
        </w:rPr>
        <w:t xml:space="preserve"> kön, trosuppfattning, hudfärg, sexuell läggning eller funktionsnedsättning. Ytterligare ett perspektiv på säkerhet och trygghet är den lärdom som dragits under pandemin som krävt särskilda insatser för att förhindra och förebygga smittspridning. </w:t>
      </w:r>
      <w:r w:rsidR="7C6F037A" w:rsidRPr="7328303B">
        <w:rPr>
          <w:rStyle w:val="normaltextrun"/>
          <w:rFonts w:ascii="Times New Roman" w:eastAsia="Times New Roman" w:hAnsi="Times New Roman" w:cs="Times New Roman"/>
          <w:color w:val="000000" w:themeColor="text1"/>
        </w:rPr>
        <w:t>Att ha beredskap för eventuella framtida liknande händelser blir viktigt för</w:t>
      </w:r>
      <w:r w:rsidR="25B52AC1" w:rsidRPr="7328303B">
        <w:rPr>
          <w:rStyle w:val="normaltextrun"/>
          <w:rFonts w:ascii="Times New Roman" w:eastAsia="Times New Roman" w:hAnsi="Times New Roman" w:cs="Times New Roman"/>
          <w:color w:val="000000" w:themeColor="text1"/>
        </w:rPr>
        <w:t xml:space="preserve"> att skapa trygghet hos besökare</w:t>
      </w:r>
      <w:r w:rsidR="768A805E" w:rsidRPr="7328303B">
        <w:rPr>
          <w:rStyle w:val="normaltextrun"/>
          <w:rFonts w:ascii="Times New Roman" w:eastAsia="Times New Roman" w:hAnsi="Times New Roman" w:cs="Times New Roman"/>
          <w:color w:val="000000" w:themeColor="text1"/>
        </w:rPr>
        <w:t>.</w:t>
      </w:r>
    </w:p>
    <w:p w14:paraId="74967B3B" w14:textId="7FB2C12B" w:rsidR="4075A125" w:rsidRDefault="5EF79760" w:rsidP="00484A33">
      <w:pPr>
        <w:spacing w:beforeAutospacing="1" w:afterAutospacing="1" w:line="276" w:lineRule="auto"/>
        <w:rPr>
          <w:rFonts w:ascii="Times New Roman" w:eastAsia="Times New Roman" w:hAnsi="Times New Roman" w:cs="Times New Roman"/>
          <w:color w:val="000000" w:themeColor="text1"/>
        </w:rPr>
      </w:pPr>
      <w:r w:rsidRPr="7328303B">
        <w:rPr>
          <w:rStyle w:val="normaltextrun"/>
          <w:rFonts w:ascii="Times New Roman" w:eastAsia="Times New Roman" w:hAnsi="Times New Roman" w:cs="Times New Roman"/>
          <w:color w:val="000000" w:themeColor="text1"/>
        </w:rPr>
        <w:t xml:space="preserve">Ett incitament för att möjliggöra för besökarna att förlänga sin vistelse på destinationen </w:t>
      </w:r>
      <w:r w:rsidR="4BCF4B04" w:rsidRPr="7328303B">
        <w:rPr>
          <w:rStyle w:val="normaltextrun"/>
          <w:rFonts w:ascii="Times New Roman" w:eastAsia="Times New Roman" w:hAnsi="Times New Roman" w:cs="Times New Roman"/>
          <w:color w:val="000000" w:themeColor="text1"/>
        </w:rPr>
        <w:t xml:space="preserve">samt att skapa ökad nöjdhet, </w:t>
      </w:r>
      <w:r w:rsidRPr="7328303B">
        <w:rPr>
          <w:rStyle w:val="normaltextrun"/>
          <w:rFonts w:ascii="Times New Roman" w:eastAsia="Times New Roman" w:hAnsi="Times New Roman" w:cs="Times New Roman"/>
          <w:color w:val="000000" w:themeColor="text1"/>
        </w:rPr>
        <w:t xml:space="preserve">är att de känner till destinationens breda utbud. Destinationens utbud behöver därför tillgängliggöras genom information och anpassad kommunikation. Att synliggöra destinationens breda utbud av upplevelser bidrar till inkludering. </w:t>
      </w:r>
    </w:p>
    <w:p w14:paraId="781E7441" w14:textId="4FA06B05" w:rsidR="5EF79760" w:rsidRDefault="5EF79760" w:rsidP="00484A33">
      <w:pPr>
        <w:spacing w:beforeAutospacing="1" w:afterAutospacing="1" w:line="276" w:lineRule="auto"/>
        <w:rPr>
          <w:rStyle w:val="normaltextrun"/>
          <w:rFonts w:ascii="Times New Roman" w:eastAsia="Times New Roman" w:hAnsi="Times New Roman" w:cs="Times New Roman"/>
          <w:color w:val="000000" w:themeColor="text1"/>
        </w:rPr>
      </w:pPr>
      <w:r w:rsidRPr="458B65FA">
        <w:rPr>
          <w:rStyle w:val="normaltextrun"/>
          <w:rFonts w:ascii="Times New Roman" w:eastAsia="Times New Roman" w:hAnsi="Times New Roman" w:cs="Times New Roman"/>
          <w:color w:val="000000" w:themeColor="text1"/>
        </w:rPr>
        <w:t>En av de indikatorer som används för uppföljning av detta mål är NPS</w:t>
      </w:r>
      <w:r w:rsidR="6372F832" w:rsidRPr="458B65FA">
        <w:rPr>
          <w:rStyle w:val="normaltextrun"/>
          <w:rFonts w:ascii="Times New Roman" w:eastAsia="Times New Roman" w:hAnsi="Times New Roman" w:cs="Times New Roman"/>
          <w:color w:val="000000" w:themeColor="text1"/>
        </w:rPr>
        <w:t xml:space="preserve"> (Net Promotor Score) </w:t>
      </w:r>
      <w:r w:rsidRPr="458B65FA">
        <w:rPr>
          <w:rStyle w:val="normaltextrun"/>
          <w:rFonts w:ascii="Times New Roman" w:eastAsia="Times New Roman" w:hAnsi="Times New Roman" w:cs="Times New Roman"/>
          <w:color w:val="000000" w:themeColor="text1"/>
        </w:rPr>
        <w:t xml:space="preserve">som är ett </w:t>
      </w:r>
      <w:r w:rsidR="0C154599" w:rsidRPr="458B65FA">
        <w:rPr>
          <w:rStyle w:val="normaltextrun"/>
          <w:rFonts w:ascii="Times New Roman" w:eastAsia="Times New Roman" w:hAnsi="Times New Roman" w:cs="Times New Roman"/>
          <w:color w:val="000000" w:themeColor="text1"/>
        </w:rPr>
        <w:t>väl</w:t>
      </w:r>
      <w:r w:rsidRPr="458B65FA">
        <w:rPr>
          <w:rStyle w:val="normaltextrun"/>
          <w:rFonts w:ascii="Times New Roman" w:eastAsia="Times New Roman" w:hAnsi="Times New Roman" w:cs="Times New Roman"/>
          <w:color w:val="000000" w:themeColor="text1"/>
        </w:rPr>
        <w:t xml:space="preserve">etablerat mått för att mäta nöjdhet. Med NPS ställs en central fråga; om besökaren är villig att rekommendera destinationen till andra. </w:t>
      </w:r>
      <w:r w:rsidR="263E0F91" w:rsidRPr="458B65FA">
        <w:rPr>
          <w:rStyle w:val="normaltextrun"/>
          <w:rFonts w:ascii="Times New Roman" w:eastAsia="Times New Roman" w:hAnsi="Times New Roman" w:cs="Times New Roman"/>
          <w:color w:val="000000" w:themeColor="text1"/>
        </w:rPr>
        <w:t xml:space="preserve">De svarande får ange sin rekommendationsgrad på en skala från </w:t>
      </w:r>
      <w:r w:rsidR="005F2DB0" w:rsidRPr="458B65FA">
        <w:rPr>
          <w:rStyle w:val="normaltextrun"/>
          <w:rFonts w:ascii="Times New Roman" w:eastAsia="Times New Roman" w:hAnsi="Times New Roman" w:cs="Times New Roman"/>
          <w:color w:val="000000" w:themeColor="text1"/>
        </w:rPr>
        <w:t>0–10</w:t>
      </w:r>
      <w:r w:rsidR="263E0F91" w:rsidRPr="458B65FA">
        <w:rPr>
          <w:rStyle w:val="normaltextrun"/>
          <w:rFonts w:ascii="Times New Roman" w:eastAsia="Times New Roman" w:hAnsi="Times New Roman" w:cs="Times New Roman"/>
          <w:color w:val="000000" w:themeColor="text1"/>
        </w:rPr>
        <w:t xml:space="preserve">. </w:t>
      </w:r>
      <w:r w:rsidR="40AA63FD" w:rsidRPr="458B65FA">
        <w:rPr>
          <w:rStyle w:val="normaltextrun"/>
          <w:rFonts w:ascii="Times New Roman" w:eastAsia="Times New Roman" w:hAnsi="Times New Roman" w:cs="Times New Roman"/>
          <w:color w:val="000000" w:themeColor="text1"/>
        </w:rPr>
        <w:t xml:space="preserve">Värdet kan teoretiskt variera mellan –100 (lägst) till 100 (högst) och värdet som presenteras är summan av den andel som svarat 9 eller 10 på skalan minus den andel som svarat </w:t>
      </w:r>
      <w:r w:rsidR="005F2DB0" w:rsidRPr="458B65FA">
        <w:rPr>
          <w:rStyle w:val="normaltextrun"/>
          <w:rFonts w:ascii="Times New Roman" w:eastAsia="Times New Roman" w:hAnsi="Times New Roman" w:cs="Times New Roman"/>
          <w:color w:val="000000" w:themeColor="text1"/>
        </w:rPr>
        <w:t>0–6</w:t>
      </w:r>
      <w:r w:rsidR="40AA63FD" w:rsidRPr="458B65FA">
        <w:rPr>
          <w:rStyle w:val="normaltextrun"/>
          <w:rFonts w:ascii="Times New Roman" w:eastAsia="Times New Roman" w:hAnsi="Times New Roman" w:cs="Times New Roman"/>
          <w:color w:val="000000" w:themeColor="text1"/>
        </w:rPr>
        <w:t xml:space="preserve">. </w:t>
      </w:r>
      <w:r w:rsidRPr="458B65FA">
        <w:rPr>
          <w:rStyle w:val="normaltextrun"/>
          <w:rFonts w:ascii="Times New Roman" w:eastAsia="Times New Roman" w:hAnsi="Times New Roman" w:cs="Times New Roman"/>
          <w:color w:val="000000" w:themeColor="text1"/>
        </w:rPr>
        <w:t xml:space="preserve">NPS är ett vedertaget mått som används av många varumärken, företag och destinationer, såväl nationellt som internationellt. Det möjliggör för enskilda näringsidkare på destinationen att jämföra sin egen kundnöjdhet med den för destinationen som helhet. </w:t>
      </w:r>
    </w:p>
    <w:p w14:paraId="263A5D16" w14:textId="389EB288" w:rsidR="4075A125" w:rsidRDefault="5EF79760" w:rsidP="00484A33">
      <w:pPr>
        <w:spacing w:beforeAutospacing="1" w:afterAutospacing="1" w:line="276" w:lineRule="auto"/>
        <w:rPr>
          <w:rStyle w:val="normaltextrun"/>
          <w:rFonts w:ascii="Times New Roman" w:eastAsia="Times New Roman" w:hAnsi="Times New Roman" w:cs="Times New Roman"/>
          <w:color w:val="000000" w:themeColor="text1"/>
        </w:rPr>
      </w:pPr>
      <w:r w:rsidRPr="458B65FA">
        <w:rPr>
          <w:rStyle w:val="normaltextrun"/>
          <w:rFonts w:ascii="Times New Roman" w:eastAsia="Times New Roman" w:hAnsi="Times New Roman" w:cs="Times New Roman"/>
          <w:color w:val="000000" w:themeColor="text1"/>
        </w:rPr>
        <w:t xml:space="preserve">Därtill </w:t>
      </w:r>
      <w:r w:rsidR="759E571A" w:rsidRPr="458B65FA">
        <w:rPr>
          <w:rStyle w:val="normaltextrun"/>
          <w:rFonts w:ascii="Times New Roman" w:eastAsia="Times New Roman" w:hAnsi="Times New Roman" w:cs="Times New Roman"/>
          <w:color w:val="000000" w:themeColor="text1"/>
        </w:rPr>
        <w:t>mäts</w:t>
      </w:r>
      <w:r w:rsidRPr="458B65FA">
        <w:rPr>
          <w:rStyle w:val="normaltextrun"/>
          <w:rFonts w:ascii="Times New Roman" w:eastAsia="Times New Roman" w:hAnsi="Times New Roman" w:cs="Times New Roman"/>
          <w:color w:val="000000" w:themeColor="text1"/>
        </w:rPr>
        <w:t xml:space="preserve"> </w:t>
      </w:r>
      <w:r w:rsidR="00364CE3">
        <w:rPr>
          <w:rStyle w:val="normaltextrun"/>
          <w:rFonts w:ascii="Times New Roman" w:eastAsia="Times New Roman" w:hAnsi="Times New Roman" w:cs="Times New Roman"/>
          <w:color w:val="000000" w:themeColor="text1"/>
        </w:rPr>
        <w:t>b</w:t>
      </w:r>
      <w:r w:rsidRPr="458B65FA">
        <w:rPr>
          <w:rStyle w:val="normaltextrun"/>
          <w:rFonts w:ascii="Times New Roman" w:eastAsia="Times New Roman" w:hAnsi="Times New Roman" w:cs="Times New Roman"/>
          <w:color w:val="000000" w:themeColor="text1"/>
        </w:rPr>
        <w:t>esökarindex</w:t>
      </w:r>
      <w:r w:rsidR="3AF89B74" w:rsidRPr="458B65FA">
        <w:rPr>
          <w:rStyle w:val="normaltextrun"/>
          <w:rFonts w:ascii="Times New Roman" w:eastAsia="Times New Roman" w:hAnsi="Times New Roman" w:cs="Times New Roman"/>
          <w:color w:val="000000" w:themeColor="text1"/>
        </w:rPr>
        <w:t>,</w:t>
      </w:r>
      <w:r w:rsidRPr="458B65FA">
        <w:rPr>
          <w:rStyle w:val="normaltextrun"/>
          <w:rFonts w:ascii="Times New Roman" w:eastAsia="Times New Roman" w:hAnsi="Times New Roman" w:cs="Times New Roman"/>
          <w:color w:val="000000" w:themeColor="text1"/>
        </w:rPr>
        <w:t xml:space="preserve"> som är ett sammanvägt mått av fyra frågor som ställs till besökarna avseende den upplevda känslan av; trygghet, tillgång till information, attraktiviteten i destinationens utbud samt </w:t>
      </w:r>
      <w:r w:rsidR="25C10DCD" w:rsidRPr="458B65FA">
        <w:rPr>
          <w:rStyle w:val="normaltextrun"/>
          <w:rFonts w:ascii="Times New Roman" w:eastAsia="Times New Roman" w:hAnsi="Times New Roman" w:cs="Times New Roman"/>
          <w:color w:val="000000" w:themeColor="text1"/>
        </w:rPr>
        <w:t>bemötandet på</w:t>
      </w:r>
      <w:r w:rsidRPr="458B65FA">
        <w:rPr>
          <w:rStyle w:val="normaltextrun"/>
          <w:rFonts w:ascii="Times New Roman" w:eastAsia="Times New Roman" w:hAnsi="Times New Roman" w:cs="Times New Roman"/>
          <w:color w:val="000000" w:themeColor="text1"/>
        </w:rPr>
        <w:t xml:space="preserve"> destinationen.</w:t>
      </w:r>
      <w:r w:rsidR="02B090CC" w:rsidRPr="458B65FA">
        <w:rPr>
          <w:rStyle w:val="normaltextrun"/>
          <w:rFonts w:ascii="Times New Roman" w:eastAsia="Times New Roman" w:hAnsi="Times New Roman" w:cs="Times New Roman"/>
          <w:color w:val="000000" w:themeColor="text1"/>
        </w:rPr>
        <w:t xml:space="preserve"> </w:t>
      </w:r>
      <w:r w:rsidR="7C40B2A8" w:rsidRPr="458B65FA">
        <w:rPr>
          <w:rStyle w:val="normaltextrun"/>
          <w:rFonts w:ascii="Times New Roman" w:eastAsia="Times New Roman" w:hAnsi="Times New Roman" w:cs="Times New Roman"/>
          <w:color w:val="000000" w:themeColor="text1"/>
        </w:rPr>
        <w:t xml:space="preserve">Dessa </w:t>
      </w:r>
      <w:r w:rsidR="5601F18A" w:rsidRPr="458B65FA">
        <w:rPr>
          <w:rStyle w:val="normaltextrun"/>
          <w:rFonts w:ascii="Times New Roman" w:eastAsia="Times New Roman" w:hAnsi="Times New Roman" w:cs="Times New Roman"/>
          <w:color w:val="000000" w:themeColor="text1"/>
        </w:rPr>
        <w:t xml:space="preserve">fyra frågeställningar har, efter rensning för dem som svarat “vet ej” vägts samman till en indikator - </w:t>
      </w:r>
      <w:r w:rsidR="00364CE3">
        <w:rPr>
          <w:rStyle w:val="normaltextrun"/>
          <w:rFonts w:ascii="Times New Roman" w:eastAsia="Times New Roman" w:hAnsi="Times New Roman" w:cs="Times New Roman"/>
          <w:color w:val="000000" w:themeColor="text1"/>
        </w:rPr>
        <w:t>b</w:t>
      </w:r>
      <w:r w:rsidR="5601F18A" w:rsidRPr="458B65FA">
        <w:rPr>
          <w:rStyle w:val="normaltextrun"/>
          <w:rFonts w:ascii="Times New Roman" w:eastAsia="Times New Roman" w:hAnsi="Times New Roman" w:cs="Times New Roman"/>
          <w:color w:val="000000" w:themeColor="text1"/>
        </w:rPr>
        <w:t xml:space="preserve">esökarindex. Även detta tal kan som lägst ligga på -100 och som högst 100. </w:t>
      </w:r>
      <w:r w:rsidR="02B090CC" w:rsidRPr="458B65FA">
        <w:rPr>
          <w:rStyle w:val="normaltextrun"/>
          <w:rFonts w:ascii="Times New Roman" w:eastAsia="Times New Roman" w:hAnsi="Times New Roman" w:cs="Times New Roman"/>
          <w:color w:val="000000" w:themeColor="text1"/>
        </w:rPr>
        <w:t>Vid analys av underlaget tas även hänsyn till bakgrundsvariabler så som exempelvis kön, ålder, etnisk bakgrund och ekonomisk situation för ökad förståelse av besökarnas upplevelse</w:t>
      </w:r>
      <w:r w:rsidR="292569F7" w:rsidRPr="458B65FA">
        <w:rPr>
          <w:rStyle w:val="normaltextrun"/>
          <w:rFonts w:ascii="Times New Roman" w:eastAsia="Times New Roman" w:hAnsi="Times New Roman" w:cs="Times New Roman"/>
          <w:color w:val="000000" w:themeColor="text1"/>
        </w:rPr>
        <w:t xml:space="preserve">. Därtill ställs </w:t>
      </w:r>
      <w:r w:rsidR="5B815482" w:rsidRPr="458B65FA">
        <w:rPr>
          <w:rStyle w:val="normaltextrun"/>
          <w:rFonts w:ascii="Times New Roman" w:eastAsia="Times New Roman" w:hAnsi="Times New Roman" w:cs="Times New Roman"/>
          <w:color w:val="000000" w:themeColor="text1"/>
        </w:rPr>
        <w:t xml:space="preserve">i </w:t>
      </w:r>
      <w:r w:rsidR="7A79E032" w:rsidRPr="458B65FA">
        <w:rPr>
          <w:rStyle w:val="normaltextrun"/>
          <w:rFonts w:ascii="Times New Roman" w:eastAsia="Times New Roman" w:hAnsi="Times New Roman" w:cs="Times New Roman"/>
          <w:color w:val="000000" w:themeColor="text1"/>
        </w:rPr>
        <w:t>s</w:t>
      </w:r>
      <w:r w:rsidR="5B815482" w:rsidRPr="458B65FA">
        <w:rPr>
          <w:rStyle w:val="normaltextrun"/>
          <w:rFonts w:ascii="Times New Roman" w:eastAsia="Times New Roman" w:hAnsi="Times New Roman" w:cs="Times New Roman"/>
          <w:color w:val="000000" w:themeColor="text1"/>
        </w:rPr>
        <w:t xml:space="preserve">amma </w:t>
      </w:r>
      <w:r w:rsidR="07014A2A" w:rsidRPr="458B65FA">
        <w:rPr>
          <w:rStyle w:val="normaltextrun"/>
          <w:rFonts w:ascii="Times New Roman" w:eastAsia="Times New Roman" w:hAnsi="Times New Roman" w:cs="Times New Roman"/>
          <w:color w:val="000000" w:themeColor="text1"/>
        </w:rPr>
        <w:t>undersökning</w:t>
      </w:r>
      <w:r w:rsidR="5B815482" w:rsidRPr="458B65FA">
        <w:rPr>
          <w:rStyle w:val="normaltextrun"/>
          <w:rFonts w:ascii="Times New Roman" w:eastAsia="Times New Roman" w:hAnsi="Times New Roman" w:cs="Times New Roman"/>
          <w:color w:val="000000" w:themeColor="text1"/>
        </w:rPr>
        <w:t xml:space="preserve"> </w:t>
      </w:r>
      <w:r w:rsidR="292569F7" w:rsidRPr="458B65FA">
        <w:rPr>
          <w:rStyle w:val="normaltextrun"/>
          <w:rFonts w:ascii="Times New Roman" w:eastAsia="Times New Roman" w:hAnsi="Times New Roman" w:cs="Times New Roman"/>
          <w:color w:val="000000" w:themeColor="text1"/>
        </w:rPr>
        <w:t xml:space="preserve">frågor om hur </w:t>
      </w:r>
      <w:r w:rsidR="18B1ADF8" w:rsidRPr="458B65FA">
        <w:rPr>
          <w:rStyle w:val="normaltextrun"/>
          <w:rFonts w:ascii="Times New Roman" w:eastAsia="Times New Roman" w:hAnsi="Times New Roman" w:cs="Times New Roman"/>
          <w:color w:val="000000" w:themeColor="text1"/>
        </w:rPr>
        <w:t>nöjda besökarna är med</w:t>
      </w:r>
      <w:r w:rsidR="292569F7" w:rsidRPr="458B65FA">
        <w:rPr>
          <w:rStyle w:val="normaltextrun"/>
          <w:rFonts w:ascii="Times New Roman" w:eastAsia="Times New Roman" w:hAnsi="Times New Roman" w:cs="Times New Roman"/>
          <w:color w:val="000000" w:themeColor="text1"/>
        </w:rPr>
        <w:t xml:space="preserve"> destinationens utbud inom ett antal utvalda områden (</w:t>
      </w:r>
      <w:r w:rsidR="005F2DB0" w:rsidRPr="458B65FA">
        <w:rPr>
          <w:rStyle w:val="normaltextrun"/>
          <w:rFonts w:ascii="Times New Roman" w:eastAsia="Times New Roman" w:hAnsi="Times New Roman" w:cs="Times New Roman"/>
          <w:color w:val="000000" w:themeColor="text1"/>
        </w:rPr>
        <w:t>till exempel</w:t>
      </w:r>
      <w:r w:rsidR="292569F7" w:rsidRPr="458B65FA">
        <w:rPr>
          <w:rStyle w:val="normaltextrun"/>
          <w:rFonts w:ascii="Times New Roman" w:eastAsia="Times New Roman" w:hAnsi="Times New Roman" w:cs="Times New Roman"/>
          <w:color w:val="000000" w:themeColor="text1"/>
        </w:rPr>
        <w:t xml:space="preserve"> </w:t>
      </w:r>
      <w:r w:rsidR="30DA3DC0" w:rsidRPr="458B65FA">
        <w:rPr>
          <w:rStyle w:val="normaltextrun"/>
          <w:rFonts w:ascii="Times New Roman" w:eastAsia="Times New Roman" w:hAnsi="Times New Roman" w:cs="Times New Roman"/>
          <w:color w:val="000000" w:themeColor="text1"/>
        </w:rPr>
        <w:t>b</w:t>
      </w:r>
      <w:r w:rsidR="292569F7" w:rsidRPr="458B65FA">
        <w:rPr>
          <w:rStyle w:val="normaltextrun"/>
          <w:rFonts w:ascii="Times New Roman" w:eastAsia="Times New Roman" w:hAnsi="Times New Roman" w:cs="Times New Roman"/>
          <w:color w:val="000000" w:themeColor="text1"/>
        </w:rPr>
        <w:t>oende, tr</w:t>
      </w:r>
      <w:r w:rsidR="7C2EE1E9" w:rsidRPr="458B65FA">
        <w:rPr>
          <w:rStyle w:val="normaltextrun"/>
          <w:rFonts w:ascii="Times New Roman" w:eastAsia="Times New Roman" w:hAnsi="Times New Roman" w:cs="Times New Roman"/>
          <w:color w:val="000000" w:themeColor="text1"/>
        </w:rPr>
        <w:t>ansporter, a</w:t>
      </w:r>
      <w:r w:rsidR="4CEBE6A5" w:rsidRPr="458B65FA">
        <w:rPr>
          <w:rStyle w:val="normaltextrun"/>
          <w:rFonts w:ascii="Times New Roman" w:eastAsia="Times New Roman" w:hAnsi="Times New Roman" w:cs="Times New Roman"/>
          <w:color w:val="000000" w:themeColor="text1"/>
        </w:rPr>
        <w:t>ktiviteter</w:t>
      </w:r>
      <w:r w:rsidR="7C2EE1E9" w:rsidRPr="458B65FA">
        <w:rPr>
          <w:rStyle w:val="normaltextrun"/>
          <w:rFonts w:ascii="Times New Roman" w:eastAsia="Times New Roman" w:hAnsi="Times New Roman" w:cs="Times New Roman"/>
          <w:color w:val="000000" w:themeColor="text1"/>
        </w:rPr>
        <w:t>, nöjen</w:t>
      </w:r>
      <w:r w:rsidR="2DAAAD9E" w:rsidRPr="458B65FA">
        <w:rPr>
          <w:rStyle w:val="normaltextrun"/>
          <w:rFonts w:ascii="Times New Roman" w:eastAsia="Times New Roman" w:hAnsi="Times New Roman" w:cs="Times New Roman"/>
          <w:color w:val="000000" w:themeColor="text1"/>
        </w:rPr>
        <w:t>, mat</w:t>
      </w:r>
      <w:r w:rsidR="7C2EE1E9" w:rsidRPr="458B65FA">
        <w:rPr>
          <w:rStyle w:val="normaltextrun"/>
          <w:rFonts w:ascii="Times New Roman" w:eastAsia="Times New Roman" w:hAnsi="Times New Roman" w:cs="Times New Roman"/>
          <w:color w:val="000000" w:themeColor="text1"/>
        </w:rPr>
        <w:t xml:space="preserve">) </w:t>
      </w:r>
      <w:r w:rsidR="5423326A" w:rsidRPr="458B65FA">
        <w:rPr>
          <w:rStyle w:val="normaltextrun"/>
          <w:rFonts w:ascii="Times New Roman" w:eastAsia="Times New Roman" w:hAnsi="Times New Roman" w:cs="Times New Roman"/>
          <w:color w:val="000000" w:themeColor="text1"/>
        </w:rPr>
        <w:t xml:space="preserve">som ytterligare kan öka förståelsen för besökarnas upplevelse av destinationen samt synliggöra förbättringsområden. </w:t>
      </w:r>
    </w:p>
    <w:p w14:paraId="2C610F4F" w14:textId="02BB8CB8" w:rsidR="5EF79760" w:rsidRPr="00364CE3" w:rsidRDefault="5EF79760" w:rsidP="00484A33">
      <w:pPr>
        <w:spacing w:beforeAutospacing="1" w:afterAutospacing="1" w:line="276" w:lineRule="auto"/>
        <w:rPr>
          <w:rFonts w:ascii="Times New Roman" w:eastAsia="Times New Roman" w:hAnsi="Times New Roman" w:cs="Times New Roman"/>
          <w:color w:val="000000" w:themeColor="text1"/>
          <w:sz w:val="24"/>
          <w:szCs w:val="24"/>
        </w:rPr>
      </w:pPr>
      <w:r w:rsidRPr="00364CE3">
        <w:rPr>
          <w:rStyle w:val="normaltextrun"/>
          <w:rFonts w:ascii="Times New Roman" w:eastAsia="Times New Roman" w:hAnsi="Times New Roman" w:cs="Times New Roman"/>
          <w:color w:val="000000" w:themeColor="text1"/>
          <w:sz w:val="24"/>
          <w:szCs w:val="24"/>
        </w:rPr>
        <w:t xml:space="preserve">I </w:t>
      </w:r>
      <w:r w:rsidR="00364CE3">
        <w:rPr>
          <w:rStyle w:val="normaltextrun"/>
          <w:rFonts w:ascii="Times New Roman" w:eastAsia="Times New Roman" w:hAnsi="Times New Roman" w:cs="Times New Roman"/>
          <w:color w:val="000000" w:themeColor="text1"/>
          <w:sz w:val="24"/>
          <w:szCs w:val="24"/>
        </w:rPr>
        <w:t>b</w:t>
      </w:r>
      <w:r w:rsidRPr="00364CE3">
        <w:rPr>
          <w:rStyle w:val="normaltextrun"/>
          <w:rFonts w:ascii="Times New Roman" w:eastAsia="Times New Roman" w:hAnsi="Times New Roman" w:cs="Times New Roman"/>
          <w:color w:val="000000" w:themeColor="text1"/>
          <w:sz w:val="24"/>
          <w:szCs w:val="24"/>
        </w:rPr>
        <w:t>esöksnäringsprogrammet har följande två indikatorer valts för uppföljning av detta mål:</w:t>
      </w:r>
    </w:p>
    <w:p w14:paraId="76A79A74" w14:textId="77D09466" w:rsidR="5EF79760" w:rsidRPr="00364CE3" w:rsidRDefault="6F3FE8EF" w:rsidP="00484A33">
      <w:pPr>
        <w:pStyle w:val="Liststycke"/>
        <w:numPr>
          <w:ilvl w:val="0"/>
          <w:numId w:val="14"/>
        </w:numPr>
        <w:spacing w:beforeAutospacing="1" w:afterAutospacing="1" w:line="276" w:lineRule="auto"/>
        <w:rPr>
          <w:rStyle w:val="normaltextrun"/>
          <w:rFonts w:eastAsiaTheme="minorEastAsia"/>
          <w:color w:val="000000" w:themeColor="text1"/>
          <w:sz w:val="24"/>
          <w:szCs w:val="24"/>
        </w:rPr>
      </w:pPr>
      <w:r w:rsidRPr="00364CE3">
        <w:rPr>
          <w:rStyle w:val="normaltextrun"/>
          <w:rFonts w:ascii="Times New Roman" w:eastAsia="Times New Roman" w:hAnsi="Times New Roman" w:cs="Times New Roman"/>
          <w:color w:val="000000" w:themeColor="text1"/>
          <w:sz w:val="24"/>
          <w:szCs w:val="24"/>
        </w:rPr>
        <w:t xml:space="preserve">NPS besökare </w:t>
      </w:r>
      <w:r w:rsidR="292F2939" w:rsidRPr="00364CE3">
        <w:rPr>
          <w:rStyle w:val="normaltextrun"/>
          <w:rFonts w:ascii="Times New Roman" w:eastAsia="Times New Roman" w:hAnsi="Times New Roman" w:cs="Times New Roman"/>
          <w:color w:val="000000" w:themeColor="text1"/>
          <w:sz w:val="24"/>
          <w:szCs w:val="24"/>
        </w:rPr>
        <w:t xml:space="preserve">(Källa: Besökarundersökning) </w:t>
      </w:r>
    </w:p>
    <w:p w14:paraId="36793455" w14:textId="22C9BCB1" w:rsidR="5EF79760" w:rsidRPr="00364CE3" w:rsidRDefault="5EF79760" w:rsidP="00484A33">
      <w:pPr>
        <w:pStyle w:val="Liststycke"/>
        <w:numPr>
          <w:ilvl w:val="0"/>
          <w:numId w:val="14"/>
        </w:numPr>
        <w:spacing w:beforeAutospacing="1" w:afterAutospacing="1" w:line="276" w:lineRule="auto"/>
        <w:rPr>
          <w:rStyle w:val="normaltextrun"/>
          <w:rFonts w:eastAsiaTheme="minorEastAsia"/>
          <w:color w:val="000000" w:themeColor="text1"/>
          <w:sz w:val="24"/>
          <w:szCs w:val="24"/>
        </w:rPr>
      </w:pPr>
      <w:r w:rsidRPr="00364CE3">
        <w:rPr>
          <w:rStyle w:val="normaltextrun"/>
          <w:rFonts w:ascii="Times New Roman" w:eastAsia="Times New Roman" w:hAnsi="Times New Roman" w:cs="Times New Roman"/>
          <w:color w:val="000000" w:themeColor="text1"/>
          <w:sz w:val="24"/>
          <w:szCs w:val="24"/>
        </w:rPr>
        <w:t>Besökarindex</w:t>
      </w:r>
      <w:r w:rsidR="38453D17" w:rsidRPr="00364CE3">
        <w:rPr>
          <w:rStyle w:val="normaltextrun"/>
          <w:rFonts w:ascii="Times New Roman" w:eastAsia="Times New Roman" w:hAnsi="Times New Roman" w:cs="Times New Roman"/>
          <w:color w:val="000000" w:themeColor="text1"/>
          <w:sz w:val="24"/>
          <w:szCs w:val="24"/>
        </w:rPr>
        <w:t xml:space="preserve"> (Källa: Besökarundersökning)</w:t>
      </w:r>
    </w:p>
    <w:p w14:paraId="0A0CB917" w14:textId="7CB90419" w:rsidR="7328303B" w:rsidRDefault="7328303B" w:rsidP="00484A33">
      <w:pPr>
        <w:spacing w:beforeAutospacing="1" w:afterAutospacing="1" w:line="276" w:lineRule="auto"/>
        <w:rPr>
          <w:rFonts w:ascii="Times New Roman" w:eastAsia="Times New Roman" w:hAnsi="Times New Roman" w:cs="Times New Roman"/>
          <w:color w:val="000000" w:themeColor="text1"/>
          <w:sz w:val="24"/>
          <w:szCs w:val="24"/>
        </w:rPr>
      </w:pPr>
    </w:p>
    <w:p w14:paraId="22717BBE" w14:textId="304A7353" w:rsidR="4E746557" w:rsidRDefault="4E746557" w:rsidP="00484A33">
      <w:pPr>
        <w:spacing w:beforeAutospacing="1" w:afterAutospacing="1" w:line="276" w:lineRule="auto"/>
        <w:rPr>
          <w:rFonts w:ascii="Times New Roman" w:eastAsia="Times New Roman" w:hAnsi="Times New Roman" w:cs="Times New Roman"/>
          <w:color w:val="000000" w:themeColor="text1"/>
          <w:sz w:val="24"/>
          <w:szCs w:val="24"/>
        </w:rPr>
      </w:pPr>
    </w:p>
    <w:p w14:paraId="3E92A0DC" w14:textId="2FCD423E" w:rsidR="4E746557" w:rsidRPr="00364CE3" w:rsidRDefault="4E746557" w:rsidP="00484A33">
      <w:pPr>
        <w:spacing w:beforeAutospacing="1" w:afterAutospacing="1" w:line="276" w:lineRule="auto"/>
        <w:rPr>
          <w:rFonts w:ascii="Times New Roman" w:eastAsia="Times New Roman" w:hAnsi="Times New Roman" w:cs="Times New Roman"/>
          <w:b/>
          <w:bCs/>
          <w:color w:val="000000" w:themeColor="text1"/>
          <w:sz w:val="24"/>
          <w:szCs w:val="24"/>
        </w:rPr>
      </w:pPr>
    </w:p>
    <w:p w14:paraId="1E611AE5" w14:textId="36C35C5A" w:rsidR="5EF79760" w:rsidRPr="00364CE3" w:rsidRDefault="2BC8C63B" w:rsidP="00484A33">
      <w:pPr>
        <w:pStyle w:val="Liststycke"/>
        <w:numPr>
          <w:ilvl w:val="0"/>
          <w:numId w:val="15"/>
        </w:numPr>
        <w:spacing w:beforeAutospacing="1" w:afterAutospacing="1" w:line="276" w:lineRule="auto"/>
        <w:rPr>
          <w:rFonts w:ascii="Times New Roman" w:eastAsia="Times New Roman" w:hAnsi="Times New Roman" w:cs="Times New Roman"/>
          <w:b/>
          <w:bCs/>
          <w:color w:val="000000" w:themeColor="text1"/>
          <w:sz w:val="24"/>
          <w:szCs w:val="24"/>
        </w:rPr>
      </w:pPr>
      <w:r w:rsidRPr="00364CE3">
        <w:rPr>
          <w:rStyle w:val="normaltextrun"/>
          <w:rFonts w:ascii="Times New Roman" w:eastAsia="Times New Roman" w:hAnsi="Times New Roman" w:cs="Times New Roman"/>
          <w:b/>
          <w:bCs/>
          <w:color w:val="000000" w:themeColor="text1"/>
          <w:sz w:val="24"/>
          <w:szCs w:val="24"/>
        </w:rPr>
        <w:t>Besökarna gör hållbara val och den totala klimatpåverkan minskar</w:t>
      </w:r>
    </w:p>
    <w:p w14:paraId="5E52739C" w14:textId="5E0DCF50" w:rsidR="4075A125" w:rsidRDefault="5EF79760" w:rsidP="00484A33">
      <w:pPr>
        <w:spacing w:line="276" w:lineRule="auto"/>
        <w:rPr>
          <w:rFonts w:ascii="Times New Roman" w:eastAsia="Times New Roman" w:hAnsi="Times New Roman" w:cs="Times New Roman"/>
        </w:rPr>
      </w:pPr>
      <w:r w:rsidRPr="7328303B">
        <w:rPr>
          <w:rFonts w:ascii="Times New Roman" w:eastAsia="Times New Roman" w:hAnsi="Times New Roman" w:cs="Times New Roman"/>
        </w:rPr>
        <w:t xml:space="preserve">På en hållbar destination ska det vara enkelt att göra klimatsmarta val och ta del av hållbara upplevelser. En viktig parameter att ta hänsyn till för att nå målet om en hållbar destination 2030 är att begränsa det miljö- och klimatavtryck som besökare ger upphov till i samband med sin resa och vistelse. Det är därför av stor vikt att besökarna såväl på destinationen som vid resa till och från destinationen i så stor utsträckning som möjligt gör hållbara och klimatsmarta konsumtionsval. </w:t>
      </w:r>
    </w:p>
    <w:p w14:paraId="0E2F3B75" w14:textId="20BCC3D0" w:rsidR="4075A125" w:rsidRDefault="71EB8A21" w:rsidP="00484A33">
      <w:pPr>
        <w:spacing w:line="276" w:lineRule="auto"/>
        <w:rPr>
          <w:rFonts w:ascii="Times New Roman" w:eastAsia="Times New Roman" w:hAnsi="Times New Roman" w:cs="Times New Roman"/>
        </w:rPr>
      </w:pPr>
      <w:r w:rsidRPr="7328303B">
        <w:rPr>
          <w:rFonts w:ascii="Times New Roman" w:eastAsia="Times New Roman" w:hAnsi="Times New Roman" w:cs="Times New Roman"/>
        </w:rPr>
        <w:t>Transporten till och från destinationen utgör ofta det största klimatavtrycket i samband med en resa. Ett sätt att skapa tillväxt i näringen, utan att öka antalet transporter till destinationen är därför att öka vistelselängden för tillresande besökare. När besökare stannar längre på destinationen konsumerar de mer av destinationens utbud samtidigt som befintlig infrastruktur utnyttjas mer effektivt. På detta sätt möjliggörs ekonomisk tillväxt i näringen, utan att det nödvändigtvis leder till fler transporter. Detta gäller särskilt för långväga resenärer. Ett annat sätt att minska klimatavtrycket till följd av besökarnas transporter är att i högre utsträckning vända sig till inhemska besökare och besökare från närregionen som inte behöver göra en lika lång resa för att ta sig till destinationen Göteborg. Genom att</w:t>
      </w:r>
      <w:r w:rsidR="02BC55F2" w:rsidRPr="7328303B">
        <w:rPr>
          <w:rFonts w:ascii="Times New Roman" w:eastAsia="Times New Roman" w:hAnsi="Times New Roman" w:cs="Times New Roman"/>
        </w:rPr>
        <w:t xml:space="preserve"> fler</w:t>
      </w:r>
      <w:r w:rsidRPr="7328303B">
        <w:rPr>
          <w:rFonts w:ascii="Times New Roman" w:eastAsia="Times New Roman" w:hAnsi="Times New Roman" w:cs="Times New Roman"/>
        </w:rPr>
        <w:t xml:space="preserve"> besökar</w:t>
      </w:r>
      <w:r w:rsidR="74A8F01C" w:rsidRPr="7328303B">
        <w:rPr>
          <w:rFonts w:ascii="Times New Roman" w:eastAsia="Times New Roman" w:hAnsi="Times New Roman" w:cs="Times New Roman"/>
        </w:rPr>
        <w:t>e</w:t>
      </w:r>
      <w:r w:rsidRPr="7328303B">
        <w:rPr>
          <w:rFonts w:ascii="Times New Roman" w:eastAsia="Times New Roman" w:hAnsi="Times New Roman" w:cs="Times New Roman"/>
        </w:rPr>
        <w:t xml:space="preserve"> väljer klimateffektiva transportsätt så som tåg eller elbil där det är möjligt kan den totala klimatpåverkan till följd av turism </w:t>
      </w:r>
      <w:r w:rsidR="4677E3E2" w:rsidRPr="7328303B">
        <w:rPr>
          <w:rFonts w:ascii="Times New Roman" w:eastAsia="Times New Roman" w:hAnsi="Times New Roman" w:cs="Times New Roman"/>
        </w:rPr>
        <w:t xml:space="preserve">till destinationen </w:t>
      </w:r>
      <w:r w:rsidRPr="7328303B">
        <w:rPr>
          <w:rFonts w:ascii="Times New Roman" w:eastAsia="Times New Roman" w:hAnsi="Times New Roman" w:cs="Times New Roman"/>
        </w:rPr>
        <w:t>minska</w:t>
      </w:r>
      <w:r w:rsidR="2684D3D2" w:rsidRPr="7328303B">
        <w:rPr>
          <w:rFonts w:ascii="Times New Roman" w:eastAsia="Times New Roman" w:hAnsi="Times New Roman" w:cs="Times New Roman"/>
        </w:rPr>
        <w:t xml:space="preserve">. </w:t>
      </w:r>
    </w:p>
    <w:p w14:paraId="46E0E2C2" w14:textId="2C30DA09" w:rsidR="4075A125" w:rsidRDefault="71EB8A21" w:rsidP="00484A33">
      <w:pPr>
        <w:spacing w:line="276" w:lineRule="auto"/>
        <w:rPr>
          <w:rFonts w:ascii="Times New Roman" w:eastAsia="Times New Roman" w:hAnsi="Times New Roman" w:cs="Times New Roman"/>
          <w:color w:val="000000" w:themeColor="text1"/>
        </w:rPr>
      </w:pPr>
      <w:r w:rsidRPr="7328303B">
        <w:rPr>
          <w:rFonts w:ascii="Times New Roman" w:eastAsia="Times New Roman" w:hAnsi="Times New Roman" w:cs="Times New Roman"/>
        </w:rPr>
        <w:t>Vid resa till en hållbar destination ska det även finnas förutsättningar att göra klimatsmarta konsumtionsval och ta del av hållbara upplevelser väl på plats. Det förutsätter dels ett hållbarhetsengagemang hos näringens aktörer, dels att hållbara alternativ tydligt kommuniceras för att uppmuntra besökaren att konsumera hållbart under hela sin vistelse. Det kan till exempel handla om att övernatta på ett miljöcertifierat hotell, äta på restauranger som serverar lokalproducerad ekologisk mat eller delta på hållbarhetsprofilerade evenemang.</w:t>
      </w:r>
      <w:r w:rsidR="5EF79760" w:rsidRPr="7328303B">
        <w:rPr>
          <w:rFonts w:ascii="Times New Roman" w:eastAsia="Times New Roman" w:hAnsi="Times New Roman" w:cs="Times New Roman"/>
        </w:rPr>
        <w:t xml:space="preserve"> Det ställer krav på besöksmål och arrangörer av evenemang </w:t>
      </w:r>
      <w:r w:rsidR="005F2DB0" w:rsidRPr="7328303B">
        <w:rPr>
          <w:rFonts w:ascii="Times New Roman" w:eastAsia="Times New Roman" w:hAnsi="Times New Roman" w:cs="Times New Roman"/>
        </w:rPr>
        <w:t>till exempel</w:t>
      </w:r>
      <w:r w:rsidR="5EF79760" w:rsidRPr="7328303B">
        <w:rPr>
          <w:rFonts w:ascii="Times New Roman" w:eastAsia="Times New Roman" w:hAnsi="Times New Roman" w:cs="Times New Roman"/>
        </w:rPr>
        <w:t xml:space="preserve"> avseende förekomst av engångsartiklar eller hantering av matsvinn. Hållbara konsumtionsalternativ bör vara standard i utbudet så att besökarna har goda möjligheter att göra hållbara val under vistelsen.   </w:t>
      </w:r>
    </w:p>
    <w:p w14:paraId="1C4476B5" w14:textId="6B7B4CF9" w:rsidR="5EF79760" w:rsidRPr="00364CE3" w:rsidRDefault="2BC8C63B" w:rsidP="00484A33">
      <w:p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 xml:space="preserve">I </w:t>
      </w:r>
      <w:r w:rsidR="00364CE3">
        <w:rPr>
          <w:rStyle w:val="normaltextrun"/>
          <w:rFonts w:ascii="Times New Roman" w:eastAsia="Times New Roman" w:hAnsi="Times New Roman" w:cs="Times New Roman"/>
          <w:color w:val="000000" w:themeColor="text1"/>
        </w:rPr>
        <w:t>b</w:t>
      </w:r>
      <w:r w:rsidRPr="00364CE3">
        <w:rPr>
          <w:rStyle w:val="normaltextrun"/>
          <w:rFonts w:ascii="Times New Roman" w:eastAsia="Times New Roman" w:hAnsi="Times New Roman" w:cs="Times New Roman"/>
          <w:color w:val="000000" w:themeColor="text1"/>
        </w:rPr>
        <w:t xml:space="preserve">esöksnäringsprogrammet har följande </w:t>
      </w:r>
      <w:r w:rsidR="034B8027" w:rsidRPr="00364CE3">
        <w:rPr>
          <w:rStyle w:val="normaltextrun"/>
          <w:rFonts w:ascii="Times New Roman" w:eastAsia="Times New Roman" w:hAnsi="Times New Roman" w:cs="Times New Roman"/>
          <w:color w:val="000000" w:themeColor="text1"/>
        </w:rPr>
        <w:t xml:space="preserve">tre </w:t>
      </w:r>
      <w:r w:rsidRPr="00364CE3">
        <w:rPr>
          <w:rStyle w:val="normaltextrun"/>
          <w:rFonts w:ascii="Times New Roman" w:eastAsia="Times New Roman" w:hAnsi="Times New Roman" w:cs="Times New Roman"/>
          <w:color w:val="000000" w:themeColor="text1"/>
        </w:rPr>
        <w:t>indikatorer valts för uppföljning av detta mål:</w:t>
      </w:r>
    </w:p>
    <w:p w14:paraId="3C4BEA31" w14:textId="2F3BC7C7" w:rsidR="5EF79760" w:rsidRPr="00364CE3" w:rsidRDefault="377F86CB" w:rsidP="00484A33">
      <w:pPr>
        <w:pStyle w:val="Liststycke"/>
        <w:numPr>
          <w:ilvl w:val="0"/>
          <w:numId w:val="13"/>
        </w:numPr>
        <w:spacing w:beforeAutospacing="1" w:afterAutospacing="1" w:line="276" w:lineRule="auto"/>
        <w:rPr>
          <w:rStyle w:val="normaltextrun"/>
          <w:rFonts w:eastAsiaTheme="minorEastAsia"/>
          <w:color w:val="000000" w:themeColor="text1"/>
        </w:rPr>
      </w:pPr>
      <w:r w:rsidRPr="00364CE3">
        <w:rPr>
          <w:rStyle w:val="normaltextrun"/>
          <w:rFonts w:ascii="Times New Roman" w:eastAsia="Times New Roman" w:hAnsi="Times New Roman" w:cs="Times New Roman"/>
          <w:color w:val="000000" w:themeColor="text1"/>
        </w:rPr>
        <w:t xml:space="preserve">Genomsnittlig vistelselängd på kommersiella boendeanläggningar </w:t>
      </w:r>
      <w:r w:rsidR="7ABF9413" w:rsidRPr="00364CE3">
        <w:rPr>
          <w:rStyle w:val="normaltextrun"/>
          <w:rFonts w:ascii="Times New Roman" w:eastAsia="Times New Roman" w:hAnsi="Times New Roman" w:cs="Times New Roman"/>
          <w:color w:val="000000" w:themeColor="text1"/>
        </w:rPr>
        <w:t>(Källa: SCB Inkvarteringsstatistik)</w:t>
      </w:r>
    </w:p>
    <w:p w14:paraId="38ED0FB0" w14:textId="2B3DD50D" w:rsidR="5EF79760" w:rsidRPr="00364CE3" w:rsidRDefault="7F77509E" w:rsidP="00484A33">
      <w:pPr>
        <w:pStyle w:val="Liststycke"/>
        <w:numPr>
          <w:ilvl w:val="0"/>
          <w:numId w:val="13"/>
        </w:numPr>
        <w:spacing w:beforeAutospacing="1" w:afterAutospacing="1" w:line="276" w:lineRule="auto"/>
        <w:rPr>
          <w:rStyle w:val="normaltextrun"/>
          <w:rFonts w:eastAsiaTheme="minorEastAsia"/>
          <w:color w:val="000000" w:themeColor="text1"/>
        </w:rPr>
      </w:pPr>
      <w:r w:rsidRPr="00364CE3">
        <w:rPr>
          <w:rStyle w:val="normaltextrun"/>
          <w:rFonts w:ascii="Times New Roman" w:eastAsia="Times New Roman" w:hAnsi="Times New Roman" w:cs="Times New Roman"/>
          <w:color w:val="000000" w:themeColor="text1"/>
        </w:rPr>
        <w:t>Antal i</w:t>
      </w:r>
      <w:r w:rsidR="2BC8C63B" w:rsidRPr="00364CE3">
        <w:rPr>
          <w:rStyle w:val="normaltextrun"/>
          <w:rFonts w:ascii="Times New Roman" w:eastAsia="Times New Roman" w:hAnsi="Times New Roman" w:cs="Times New Roman"/>
          <w:color w:val="000000" w:themeColor="text1"/>
        </w:rPr>
        <w:t>nhemska gästnätter på kommersiella boendeanläggning</w:t>
      </w:r>
      <w:r w:rsidR="3910617D" w:rsidRPr="00364CE3">
        <w:rPr>
          <w:rStyle w:val="normaltextrun"/>
          <w:rFonts w:ascii="Times New Roman" w:eastAsia="Times New Roman" w:hAnsi="Times New Roman" w:cs="Times New Roman"/>
          <w:color w:val="000000" w:themeColor="text1"/>
        </w:rPr>
        <w:t xml:space="preserve"> (Källa: SCB Inkvarteringsstatistik)</w:t>
      </w:r>
    </w:p>
    <w:p w14:paraId="3735C141" w14:textId="77777777" w:rsidR="00364CE3" w:rsidRDefault="556FF64F" w:rsidP="00484A33">
      <w:pPr>
        <w:pStyle w:val="Liststycke"/>
        <w:numPr>
          <w:ilvl w:val="0"/>
          <w:numId w:val="13"/>
        </w:numPr>
        <w:spacing w:beforeAutospacing="1" w:afterAutospacing="1" w:line="276" w:lineRule="auto"/>
        <w:rPr>
          <w:rStyle w:val="normaltextrun"/>
          <w:rFonts w:ascii="Times New Roman" w:eastAsia="Times New Roman" w:hAnsi="Times New Roman" w:cs="Times New Roman"/>
          <w:color w:val="000000" w:themeColor="text1"/>
        </w:rPr>
      </w:pPr>
      <w:r w:rsidRPr="00364CE3">
        <w:rPr>
          <w:rStyle w:val="normaltextrun"/>
          <w:rFonts w:ascii="Times New Roman" w:eastAsia="Times New Roman" w:hAnsi="Times New Roman" w:cs="Times New Roman"/>
          <w:color w:val="000000" w:themeColor="text1"/>
        </w:rPr>
        <w:t xml:space="preserve">Andel besökare som upplever Göteborgsregionen som en hållbar destination </w:t>
      </w:r>
      <w:r w:rsidR="4E74CD5D" w:rsidRPr="00364CE3">
        <w:rPr>
          <w:rStyle w:val="normaltextrun"/>
          <w:rFonts w:ascii="Times New Roman" w:eastAsia="Times New Roman" w:hAnsi="Times New Roman" w:cs="Times New Roman"/>
          <w:color w:val="000000" w:themeColor="text1"/>
        </w:rPr>
        <w:t>(Källa: Besökarundersökning)</w:t>
      </w:r>
      <w:r w:rsidR="2BC8C63B" w:rsidRPr="00364CE3">
        <w:rPr>
          <w:rStyle w:val="normaltextrun"/>
          <w:rFonts w:ascii="Times New Roman" w:eastAsia="Times New Roman" w:hAnsi="Times New Roman" w:cs="Times New Roman"/>
          <w:color w:val="000000" w:themeColor="text1"/>
        </w:rPr>
        <w:t xml:space="preserve"> </w:t>
      </w:r>
    </w:p>
    <w:p w14:paraId="2D97C70C" w14:textId="296C34E3" w:rsidR="5EF79760" w:rsidRPr="00364CE3" w:rsidRDefault="2BC8C63B" w:rsidP="00364CE3">
      <w:pPr>
        <w:pStyle w:val="Liststycke"/>
        <w:spacing w:beforeAutospacing="1" w:afterAutospacing="1" w:line="276" w:lineRule="auto"/>
        <w:rPr>
          <w:rFonts w:ascii="Times New Roman" w:eastAsia="Times New Roman" w:hAnsi="Times New Roman" w:cs="Times New Roman"/>
          <w:color w:val="000000" w:themeColor="text1"/>
        </w:rPr>
      </w:pPr>
      <w:r w:rsidRPr="00364CE3">
        <w:rPr>
          <w:rStyle w:val="normaltextrun"/>
          <w:rFonts w:ascii="Times New Roman" w:eastAsia="Times New Roman" w:hAnsi="Times New Roman" w:cs="Times New Roman"/>
          <w:b/>
          <w:bCs/>
          <w:color w:val="000000" w:themeColor="text1"/>
        </w:rPr>
        <w:t xml:space="preserve"> </w:t>
      </w:r>
    </w:p>
    <w:p w14:paraId="534C0605" w14:textId="1D06FDFA" w:rsidR="5EF79760" w:rsidRPr="00364CE3" w:rsidRDefault="18C50194" w:rsidP="00484A33">
      <w:pPr>
        <w:pStyle w:val="Liststycke"/>
        <w:numPr>
          <w:ilvl w:val="0"/>
          <w:numId w:val="15"/>
        </w:numPr>
        <w:spacing w:beforeAutospacing="1" w:afterAutospacing="1" w:line="276" w:lineRule="auto"/>
        <w:rPr>
          <w:rFonts w:ascii="Times New Roman" w:eastAsia="Times New Roman" w:hAnsi="Times New Roman" w:cs="Times New Roman"/>
          <w:b/>
          <w:bCs/>
          <w:color w:val="000000" w:themeColor="text1"/>
        </w:rPr>
      </w:pPr>
      <w:r w:rsidRPr="00364CE3">
        <w:rPr>
          <w:rStyle w:val="normaltextrun"/>
          <w:rFonts w:ascii="Times New Roman" w:eastAsia="Times New Roman" w:hAnsi="Times New Roman" w:cs="Times New Roman"/>
          <w:b/>
          <w:bCs/>
          <w:color w:val="000000" w:themeColor="text1"/>
        </w:rPr>
        <w:t>Destin</w:t>
      </w:r>
      <w:r w:rsidR="3FE055BD" w:rsidRPr="00364CE3">
        <w:rPr>
          <w:rStyle w:val="normaltextrun"/>
          <w:rFonts w:ascii="Times New Roman" w:eastAsia="Times New Roman" w:hAnsi="Times New Roman" w:cs="Times New Roman"/>
          <w:b/>
          <w:bCs/>
          <w:color w:val="000000" w:themeColor="text1"/>
        </w:rPr>
        <w:t>a</w:t>
      </w:r>
      <w:r w:rsidRPr="00364CE3">
        <w:rPr>
          <w:rStyle w:val="normaltextrun"/>
          <w:rFonts w:ascii="Times New Roman" w:eastAsia="Times New Roman" w:hAnsi="Times New Roman" w:cs="Times New Roman"/>
          <w:b/>
          <w:bCs/>
          <w:color w:val="000000" w:themeColor="text1"/>
        </w:rPr>
        <w:t xml:space="preserve">tionen </w:t>
      </w:r>
      <w:r w:rsidR="5EF79760" w:rsidRPr="00364CE3">
        <w:rPr>
          <w:rStyle w:val="normaltextrun"/>
          <w:rFonts w:ascii="Times New Roman" w:eastAsia="Times New Roman" w:hAnsi="Times New Roman" w:cs="Times New Roman"/>
          <w:b/>
          <w:bCs/>
          <w:color w:val="000000" w:themeColor="text1"/>
        </w:rPr>
        <w:t>Göteborg har ett attraktivt utbud året runt</w:t>
      </w:r>
      <w:r w:rsidR="2761D632" w:rsidRPr="00364CE3">
        <w:rPr>
          <w:rStyle w:val="normaltextrun"/>
          <w:rFonts w:ascii="Times New Roman" w:eastAsia="Times New Roman" w:hAnsi="Times New Roman" w:cs="Times New Roman"/>
          <w:b/>
          <w:bCs/>
          <w:color w:val="000000" w:themeColor="text1"/>
        </w:rPr>
        <w:t xml:space="preserve"> </w:t>
      </w:r>
    </w:p>
    <w:p w14:paraId="66F8FCFF" w14:textId="6BF9A2AB" w:rsidR="4075A125" w:rsidRDefault="2BC8C63B" w:rsidP="00484A33">
      <w:pPr>
        <w:spacing w:beforeAutospacing="1" w:afterAutospacing="1"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 xml:space="preserve">Ett brett utbud av upplevelser bidrar till en mer hållbar destination som kan locka besökare året runt. Under 2019 genomfördes 35% av de kommersiella gästnätterna på hotell, stugbyar och vandrarhem under sommarmånaderna juni till och med augusti. För Göteborg är det viktigt att skapa fler besöksanledningar utanför högsäsong. På så sätt kan befintliga faciliteter och infrastruktur utnyttjas mer resurseffektivt och bidra med bättre lönsamhet för näringens aktörer. Samtidigt påverkar det besökarnas bild av Göteborg som en destination som alltid har något att erbjuda dem. </w:t>
      </w:r>
      <w:r w:rsidR="34894B53" w:rsidRPr="4E746557">
        <w:rPr>
          <w:rStyle w:val="normaltextrun"/>
          <w:rFonts w:ascii="Times New Roman" w:eastAsia="Times New Roman" w:hAnsi="Times New Roman" w:cs="Times New Roman"/>
          <w:color w:val="000000" w:themeColor="text1"/>
        </w:rPr>
        <w:t xml:space="preserve">Genom att </w:t>
      </w:r>
      <w:r w:rsidR="34894B53" w:rsidRPr="4E746557">
        <w:rPr>
          <w:rStyle w:val="normaltextrun"/>
          <w:rFonts w:ascii="Times New Roman" w:eastAsia="Times New Roman" w:hAnsi="Times New Roman" w:cs="Times New Roman"/>
          <w:color w:val="000000" w:themeColor="text1"/>
        </w:rPr>
        <w:lastRenderedPageBreak/>
        <w:t>fortsätta stärka stadens utbud av reseanledningar, främst under andra tidsperioder utanför traditionell högsäsong, möjliggörs för fler att upptäcka Göteborg.</w:t>
      </w:r>
    </w:p>
    <w:p w14:paraId="4E68D3A2" w14:textId="62E26BB6" w:rsidR="2C0C793F" w:rsidRDefault="2BC8C63B" w:rsidP="00484A33">
      <w:pPr>
        <w:spacing w:beforeAutospacing="1" w:afterAutospacing="1" w:line="276" w:lineRule="auto"/>
        <w:rPr>
          <w:rStyle w:val="normaltextrun"/>
          <w:rFonts w:ascii="Times New Roman" w:eastAsia="Times New Roman" w:hAnsi="Times New Roman" w:cs="Times New Roman"/>
          <w:color w:val="000000" w:themeColor="text1"/>
          <w:sz w:val="24"/>
          <w:szCs w:val="24"/>
        </w:rPr>
      </w:pPr>
      <w:r w:rsidRPr="4E746557">
        <w:rPr>
          <w:rStyle w:val="normaltextrun"/>
          <w:rFonts w:ascii="Times New Roman" w:eastAsia="Times New Roman" w:hAnsi="Times New Roman" w:cs="Times New Roman"/>
          <w:color w:val="000000" w:themeColor="text1"/>
        </w:rPr>
        <w:t xml:space="preserve">I Göteborg finns både stadspuls och nära till naturupplevelser. Destinationen erbjuder ett rikt kulturutbud med allt ifrån hällristningar och lokala festivaler till museum, teaterscener och konstgallerier. Destinationen har även stora reseanledningar i anläggningar som Liseberg, Ullevi och Svenska Mässan samt de många evenemang som årligen genomförs. </w:t>
      </w:r>
      <w:r w:rsidR="78962891" w:rsidRPr="4E746557">
        <w:rPr>
          <w:rStyle w:val="normaltextrun"/>
          <w:rFonts w:ascii="Times New Roman" w:eastAsia="Times New Roman" w:hAnsi="Times New Roman" w:cs="Times New Roman"/>
          <w:color w:val="000000" w:themeColor="text1"/>
        </w:rPr>
        <w:t>Att arrangera evenemang och möten så som konserter, vetenskapliga kongresser och mässor är ett effektivt sätt att driva besöksströmmar till destinationen. Med ett rikt utbud av reseanledningar ökar möjligheterna att locka såväl privat- som affärsresenärer att besöka destinationen samt att få dem att förlänga sin vistelse här.</w:t>
      </w:r>
    </w:p>
    <w:p w14:paraId="0BD9FF75" w14:textId="0B6CA736" w:rsidR="6F553BC0" w:rsidRDefault="77714E2A" w:rsidP="1E318009">
      <w:pPr>
        <w:spacing w:beforeAutospacing="1" w:afterAutospacing="1" w:line="276" w:lineRule="auto"/>
        <w:rPr>
          <w:rStyle w:val="normaltextrun"/>
          <w:rFonts w:ascii="Times New Roman" w:eastAsia="Times New Roman" w:hAnsi="Times New Roman" w:cs="Times New Roman"/>
          <w:color w:val="000000" w:themeColor="text1"/>
        </w:rPr>
      </w:pPr>
      <w:r w:rsidRPr="1E318009">
        <w:rPr>
          <w:rStyle w:val="normaltextrun"/>
          <w:rFonts w:ascii="Times New Roman" w:eastAsia="Times New Roman" w:hAnsi="Times New Roman" w:cs="Times New Roman"/>
          <w:color w:val="000000" w:themeColor="text1"/>
        </w:rPr>
        <w:t xml:space="preserve">En indikator för evenemang har skapats och baseras på statistik från Göteborg &amp; </w:t>
      </w:r>
      <w:r w:rsidR="2F92DE30" w:rsidRPr="1E318009">
        <w:rPr>
          <w:rStyle w:val="normaltextrun"/>
          <w:rFonts w:ascii="Times New Roman" w:eastAsia="Times New Roman" w:hAnsi="Times New Roman" w:cs="Times New Roman"/>
          <w:color w:val="000000" w:themeColor="text1"/>
        </w:rPr>
        <w:t>C</w:t>
      </w:r>
      <w:r w:rsidRPr="1E318009">
        <w:rPr>
          <w:rStyle w:val="normaltextrun"/>
          <w:rFonts w:ascii="Times New Roman" w:eastAsia="Times New Roman" w:hAnsi="Times New Roman" w:cs="Times New Roman"/>
          <w:color w:val="000000" w:themeColor="text1"/>
        </w:rPr>
        <w:t xml:space="preserve">o som avser evenemang som genomförs utanför den traditionella högsäsongen för besöksnäringen </w:t>
      </w:r>
      <w:r w:rsidR="2E74D684" w:rsidRPr="1E318009">
        <w:rPr>
          <w:rStyle w:val="normaltextrun"/>
          <w:rFonts w:ascii="Times New Roman" w:eastAsia="Times New Roman" w:hAnsi="Times New Roman" w:cs="Times New Roman"/>
          <w:color w:val="000000" w:themeColor="text1"/>
        </w:rPr>
        <w:t>(</w:t>
      </w:r>
      <w:r w:rsidRPr="1E318009">
        <w:rPr>
          <w:rStyle w:val="normaltextrun"/>
          <w:rFonts w:ascii="Times New Roman" w:eastAsia="Times New Roman" w:hAnsi="Times New Roman" w:cs="Times New Roman"/>
          <w:color w:val="000000" w:themeColor="text1"/>
        </w:rPr>
        <w:t xml:space="preserve">juni </w:t>
      </w:r>
      <w:r w:rsidR="66D7F849" w:rsidRPr="1E318009">
        <w:rPr>
          <w:rStyle w:val="normaltextrun"/>
          <w:rFonts w:ascii="Times New Roman" w:eastAsia="Times New Roman" w:hAnsi="Times New Roman" w:cs="Times New Roman"/>
          <w:color w:val="000000" w:themeColor="text1"/>
        </w:rPr>
        <w:t xml:space="preserve">- </w:t>
      </w:r>
      <w:r w:rsidRPr="1E318009">
        <w:rPr>
          <w:rStyle w:val="normaltextrun"/>
          <w:rFonts w:ascii="Times New Roman" w:eastAsia="Times New Roman" w:hAnsi="Times New Roman" w:cs="Times New Roman"/>
          <w:color w:val="000000" w:themeColor="text1"/>
        </w:rPr>
        <w:t>augusti</w:t>
      </w:r>
      <w:r w:rsidR="2701AAF3" w:rsidRPr="1E318009">
        <w:rPr>
          <w:rStyle w:val="normaltextrun"/>
          <w:rFonts w:ascii="Times New Roman" w:eastAsia="Times New Roman" w:hAnsi="Times New Roman" w:cs="Times New Roman"/>
          <w:color w:val="000000" w:themeColor="text1"/>
        </w:rPr>
        <w:t>)</w:t>
      </w:r>
      <w:r w:rsidRPr="1E318009">
        <w:rPr>
          <w:rStyle w:val="normaltextrun"/>
          <w:rFonts w:ascii="Times New Roman" w:eastAsia="Times New Roman" w:hAnsi="Times New Roman" w:cs="Times New Roman"/>
          <w:color w:val="000000" w:themeColor="text1"/>
        </w:rPr>
        <w:t xml:space="preserve">. De evenemang som ingår i beräkningen är publika evenemang med fysiska inslag som ligger utanför destinationens ordinarie utbud. Evenemang så som löpande föreställningar på teatrar eller seriespel i olika idrotter ingår alltså inte </w:t>
      </w:r>
      <w:r w:rsidR="007154AF">
        <w:rPr>
          <w:rStyle w:val="normaltextrun"/>
          <w:rFonts w:ascii="Times New Roman" w:eastAsia="Times New Roman" w:hAnsi="Times New Roman" w:cs="Times New Roman"/>
          <w:color w:val="000000" w:themeColor="text1"/>
        </w:rPr>
        <w:t xml:space="preserve">i </w:t>
      </w:r>
      <w:r w:rsidRPr="1E318009">
        <w:rPr>
          <w:rStyle w:val="normaltextrun"/>
          <w:rFonts w:ascii="Times New Roman" w:eastAsia="Times New Roman" w:hAnsi="Times New Roman" w:cs="Times New Roman"/>
          <w:color w:val="000000" w:themeColor="text1"/>
        </w:rPr>
        <w:t>sammanställningen då dessa ordinarie evenemang sker inom ramen för det lokala kultur- och föreningslivet. De evenemang som omfattas i sammanställningen är hållbara evenemang som tillför staden identifierade värden utifrån ett destinationsperspektiv. Det handlar om exempelvis gästnätter, biljettintäkter, medialt genomslag och arbetstillfällen, såväl som varumärkesstärkande värden. Evenemangen varierar stort i inriktning, upplägg, innehåll, deltagarantal och besökare. Det kan vara både enstaka och årligen återkommande evenemang. Exempel på evenemang som omfattas av indikatorn är musikfestivaler, stadsfestivaler som drar en större publik, större konserter, mästerskap, motionslopp och ungdomscuper.</w:t>
      </w:r>
    </w:p>
    <w:p w14:paraId="17AEF24B" w14:textId="22B40951" w:rsidR="4E746557" w:rsidRDefault="534F9F29" w:rsidP="00484A33">
      <w:pPr>
        <w:spacing w:beforeAutospacing="1" w:afterAutospacing="1" w:line="276" w:lineRule="auto"/>
        <w:rPr>
          <w:rFonts w:ascii="Times New Roman" w:eastAsia="Times New Roman" w:hAnsi="Times New Roman" w:cs="Times New Roman"/>
        </w:rPr>
      </w:pPr>
      <w:r w:rsidRPr="4E746557">
        <w:rPr>
          <w:rFonts w:ascii="Times New Roman" w:eastAsia="Times New Roman" w:hAnsi="Times New Roman" w:cs="Times New Roman"/>
        </w:rPr>
        <w:t xml:space="preserve">De möten som inkluderas i indikatorn är möten med minst 200 delegater och minst en övernattning, där Gothenburg Convention Bureau (Göteborg &amp; </w:t>
      </w:r>
      <w:r w:rsidR="15C3EFAA" w:rsidRPr="4E746557">
        <w:rPr>
          <w:rFonts w:ascii="Times New Roman" w:eastAsia="Times New Roman" w:hAnsi="Times New Roman" w:cs="Times New Roman"/>
        </w:rPr>
        <w:t>C</w:t>
      </w:r>
      <w:r w:rsidRPr="4E746557">
        <w:rPr>
          <w:rFonts w:ascii="Times New Roman" w:eastAsia="Times New Roman" w:hAnsi="Times New Roman" w:cs="Times New Roman"/>
        </w:rPr>
        <w:t xml:space="preserve">o) har varit drivande eller rådgivande i beslutsprocessen, samt även inkommande möten där Gothenburg Convention Bureau haft en aktiv roll. Gothenburg Convention Bureau prioriterar i sitt arbete möten som skapar hållbar tillväxt och som gagnar den lokala forskningen. Sammanställningen omfattar främst internationella och nationella vetenskapliga möten, politiska möten samt större företagsmöten med genomförande utanför den traditionella högsäsongen för besöksnäringen (juni - augusti). Utöver att generera gästnätter och turistekonomiska effekter, har möten positiva effekter på destinationen kopplat till </w:t>
      </w:r>
      <w:r w:rsidR="005F2DB0" w:rsidRPr="4E746557">
        <w:rPr>
          <w:rFonts w:ascii="Times New Roman" w:eastAsia="Times New Roman" w:hAnsi="Times New Roman" w:cs="Times New Roman"/>
        </w:rPr>
        <w:t>bland annat</w:t>
      </w:r>
      <w:r w:rsidRPr="4E746557">
        <w:rPr>
          <w:rFonts w:ascii="Times New Roman" w:eastAsia="Times New Roman" w:hAnsi="Times New Roman" w:cs="Times New Roman"/>
        </w:rPr>
        <w:t xml:space="preserve"> kunskapsspridning,</w:t>
      </w:r>
      <w:r w:rsidR="2721D3F3" w:rsidRPr="4E746557">
        <w:rPr>
          <w:rFonts w:ascii="Times New Roman" w:eastAsia="Times New Roman" w:hAnsi="Times New Roman" w:cs="Times New Roman"/>
        </w:rPr>
        <w:t xml:space="preserve"> </w:t>
      </w:r>
      <w:r w:rsidRPr="4E746557">
        <w:rPr>
          <w:rFonts w:ascii="Times New Roman" w:eastAsia="Times New Roman" w:hAnsi="Times New Roman" w:cs="Times New Roman"/>
        </w:rPr>
        <w:t xml:space="preserve">kompetenshöjning och talangattraktion, samt bidrar med långsiktiga värden för samhället samtidigt som de är varumärkesstärkande för destinationen. </w:t>
      </w:r>
    </w:p>
    <w:p w14:paraId="053CC342" w14:textId="070D7D0F" w:rsidR="5EF79760" w:rsidRPr="00364CE3" w:rsidRDefault="2BC8C63B" w:rsidP="00484A33">
      <w:pPr>
        <w:spacing w:beforeAutospacing="1" w:afterAutospacing="1" w:line="276" w:lineRule="auto"/>
        <w:rPr>
          <w:rFonts w:ascii="Times New Roman" w:eastAsia="Times New Roman" w:hAnsi="Times New Roman" w:cs="Times New Roman"/>
          <w:color w:val="000000" w:themeColor="text1"/>
        </w:rPr>
      </w:pPr>
      <w:r w:rsidRPr="00364CE3">
        <w:rPr>
          <w:rStyle w:val="normaltextrun"/>
          <w:rFonts w:ascii="Times New Roman" w:eastAsia="Times New Roman" w:hAnsi="Times New Roman" w:cs="Times New Roman"/>
          <w:color w:val="000000" w:themeColor="text1"/>
        </w:rPr>
        <w:t xml:space="preserve">I </w:t>
      </w:r>
      <w:r w:rsidR="00364CE3">
        <w:rPr>
          <w:rStyle w:val="normaltextrun"/>
          <w:rFonts w:ascii="Times New Roman" w:eastAsia="Times New Roman" w:hAnsi="Times New Roman" w:cs="Times New Roman"/>
          <w:color w:val="000000" w:themeColor="text1"/>
        </w:rPr>
        <w:t>b</w:t>
      </w:r>
      <w:r w:rsidRPr="00364CE3">
        <w:rPr>
          <w:rStyle w:val="normaltextrun"/>
          <w:rFonts w:ascii="Times New Roman" w:eastAsia="Times New Roman" w:hAnsi="Times New Roman" w:cs="Times New Roman"/>
          <w:color w:val="000000" w:themeColor="text1"/>
        </w:rPr>
        <w:t>esöksnäringsprogrammet har följande t</w:t>
      </w:r>
      <w:r w:rsidR="2B293E23" w:rsidRPr="00364CE3">
        <w:rPr>
          <w:rStyle w:val="normaltextrun"/>
          <w:rFonts w:ascii="Times New Roman" w:eastAsia="Times New Roman" w:hAnsi="Times New Roman" w:cs="Times New Roman"/>
          <w:color w:val="000000" w:themeColor="text1"/>
        </w:rPr>
        <w:t xml:space="preserve">re </w:t>
      </w:r>
      <w:r w:rsidRPr="00364CE3">
        <w:rPr>
          <w:rStyle w:val="normaltextrun"/>
          <w:rFonts w:ascii="Times New Roman" w:eastAsia="Times New Roman" w:hAnsi="Times New Roman" w:cs="Times New Roman"/>
          <w:color w:val="000000" w:themeColor="text1"/>
        </w:rPr>
        <w:t>indikatorer valts för uppföljning av detta mål:</w:t>
      </w:r>
    </w:p>
    <w:p w14:paraId="374A02FB" w14:textId="444D3CD6" w:rsidR="5EF79760" w:rsidRPr="00364CE3" w:rsidRDefault="27D538D7" w:rsidP="00484A33">
      <w:pPr>
        <w:pStyle w:val="Liststycke"/>
        <w:numPr>
          <w:ilvl w:val="0"/>
          <w:numId w:val="12"/>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Antal g</w:t>
      </w:r>
      <w:r w:rsidR="2BC8C63B" w:rsidRPr="00364CE3">
        <w:rPr>
          <w:rStyle w:val="normaltextrun"/>
          <w:rFonts w:ascii="Times New Roman" w:eastAsia="Times New Roman" w:hAnsi="Times New Roman" w:cs="Times New Roman"/>
          <w:color w:val="000000" w:themeColor="text1"/>
        </w:rPr>
        <w:t>ästnätter på kommersiella boendeanläggningar u</w:t>
      </w:r>
      <w:r w:rsidR="51B0EE8B" w:rsidRPr="00364CE3">
        <w:rPr>
          <w:rStyle w:val="normaltextrun"/>
          <w:rFonts w:ascii="Times New Roman" w:eastAsia="Times New Roman" w:hAnsi="Times New Roman" w:cs="Times New Roman"/>
          <w:color w:val="000000" w:themeColor="text1"/>
        </w:rPr>
        <w:t>tanför högsäsong</w:t>
      </w:r>
      <w:r w:rsidR="03CEFF16" w:rsidRPr="00364CE3">
        <w:rPr>
          <w:rStyle w:val="normaltextrun"/>
          <w:rFonts w:ascii="Times New Roman" w:eastAsia="Times New Roman" w:hAnsi="Times New Roman" w:cs="Times New Roman"/>
          <w:color w:val="000000" w:themeColor="text1"/>
        </w:rPr>
        <w:t xml:space="preserve"> (Källa: SCB Inkvarteringsstatistik)</w:t>
      </w:r>
    </w:p>
    <w:p w14:paraId="2F03156F" w14:textId="69B4DCBD" w:rsidR="5EF79760" w:rsidRPr="00364CE3" w:rsidRDefault="51B0EE8B" w:rsidP="00484A33">
      <w:pPr>
        <w:pStyle w:val="Liststycke"/>
        <w:numPr>
          <w:ilvl w:val="0"/>
          <w:numId w:val="12"/>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Antal evenemang utanför högsäsong</w:t>
      </w:r>
      <w:r w:rsidR="1EE3F740" w:rsidRPr="00364CE3">
        <w:rPr>
          <w:rStyle w:val="normaltextrun"/>
          <w:rFonts w:ascii="Times New Roman" w:eastAsia="Times New Roman" w:hAnsi="Times New Roman" w:cs="Times New Roman"/>
          <w:color w:val="000000" w:themeColor="text1"/>
        </w:rPr>
        <w:t xml:space="preserve"> (Källa: Göteborg &amp; </w:t>
      </w:r>
      <w:r w:rsidR="0301BBF2" w:rsidRPr="00364CE3">
        <w:rPr>
          <w:rStyle w:val="normaltextrun"/>
          <w:rFonts w:ascii="Times New Roman" w:eastAsia="Times New Roman" w:hAnsi="Times New Roman" w:cs="Times New Roman"/>
          <w:color w:val="000000" w:themeColor="text1"/>
        </w:rPr>
        <w:t>C</w:t>
      </w:r>
      <w:r w:rsidR="1EE3F740" w:rsidRPr="00364CE3">
        <w:rPr>
          <w:rStyle w:val="normaltextrun"/>
          <w:rFonts w:ascii="Times New Roman" w:eastAsia="Times New Roman" w:hAnsi="Times New Roman" w:cs="Times New Roman"/>
          <w:color w:val="000000" w:themeColor="text1"/>
        </w:rPr>
        <w:t>o)</w:t>
      </w:r>
    </w:p>
    <w:p w14:paraId="3700C31C" w14:textId="3C5E40D5" w:rsidR="4075A125" w:rsidRPr="00364CE3" w:rsidRDefault="51B0EE8B" w:rsidP="00484A33">
      <w:pPr>
        <w:pStyle w:val="Liststycke"/>
        <w:numPr>
          <w:ilvl w:val="0"/>
          <w:numId w:val="12"/>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 xml:space="preserve">Antal möten utanför högsäsong </w:t>
      </w:r>
      <w:r w:rsidR="68D8DE87" w:rsidRPr="00364CE3">
        <w:rPr>
          <w:rStyle w:val="normaltextrun"/>
          <w:rFonts w:ascii="Times New Roman" w:eastAsia="Times New Roman" w:hAnsi="Times New Roman" w:cs="Times New Roman"/>
          <w:color w:val="000000" w:themeColor="text1"/>
        </w:rPr>
        <w:t xml:space="preserve">(Källa: Göteborg &amp; </w:t>
      </w:r>
      <w:r w:rsidR="57C18B26" w:rsidRPr="00364CE3">
        <w:rPr>
          <w:rStyle w:val="normaltextrun"/>
          <w:rFonts w:ascii="Times New Roman" w:eastAsia="Times New Roman" w:hAnsi="Times New Roman" w:cs="Times New Roman"/>
          <w:color w:val="000000" w:themeColor="text1"/>
        </w:rPr>
        <w:t>C</w:t>
      </w:r>
      <w:r w:rsidR="68D8DE87" w:rsidRPr="00364CE3">
        <w:rPr>
          <w:rStyle w:val="normaltextrun"/>
          <w:rFonts w:ascii="Times New Roman" w:eastAsia="Times New Roman" w:hAnsi="Times New Roman" w:cs="Times New Roman"/>
          <w:color w:val="000000" w:themeColor="text1"/>
        </w:rPr>
        <w:t>o)</w:t>
      </w:r>
    </w:p>
    <w:p w14:paraId="06F69D85" w14:textId="584FA40E" w:rsidR="5EF79760" w:rsidRDefault="5EF79760" w:rsidP="00484A33">
      <w:pPr>
        <w:spacing w:beforeAutospacing="1" w:afterAutospacing="1" w:line="276" w:lineRule="auto"/>
        <w:rPr>
          <w:rFonts w:ascii="Times New Roman" w:eastAsia="Times New Roman" w:hAnsi="Times New Roman" w:cs="Times New Roman"/>
          <w:color w:val="000000" w:themeColor="text1"/>
          <w:sz w:val="24"/>
          <w:szCs w:val="24"/>
        </w:rPr>
      </w:pPr>
      <w:r w:rsidRPr="00023250">
        <w:rPr>
          <w:rStyle w:val="normaltextrun"/>
          <w:rFonts w:ascii="Times New Roman" w:eastAsia="Times New Roman" w:hAnsi="Times New Roman" w:cs="Times New Roman"/>
          <w:b/>
          <w:bCs/>
          <w:color w:val="000000" w:themeColor="text1"/>
          <w:sz w:val="24"/>
          <w:szCs w:val="24"/>
        </w:rPr>
        <w:t>Perspektiv: Leva</w:t>
      </w:r>
      <w:r w:rsidRPr="4075A125">
        <w:rPr>
          <w:rStyle w:val="normaltextrun"/>
          <w:rFonts w:ascii="Times New Roman" w:eastAsia="Times New Roman" w:hAnsi="Times New Roman" w:cs="Times New Roman"/>
          <w:b/>
          <w:bCs/>
          <w:color w:val="000000" w:themeColor="text1"/>
          <w:sz w:val="24"/>
          <w:szCs w:val="24"/>
        </w:rPr>
        <w:t xml:space="preserve"> </w:t>
      </w:r>
    </w:p>
    <w:p w14:paraId="3A447E44" w14:textId="1F17FE7B" w:rsidR="5EF79760" w:rsidRDefault="2BC8C63B" w:rsidP="00484A33">
      <w:pPr>
        <w:pStyle w:val="Liststycke"/>
        <w:numPr>
          <w:ilvl w:val="0"/>
          <w:numId w:val="11"/>
        </w:numPr>
        <w:spacing w:beforeAutospacing="1" w:afterAutospacing="1" w:line="276" w:lineRule="auto"/>
        <w:rPr>
          <w:rFonts w:ascii="Times New Roman" w:eastAsia="Times New Roman" w:hAnsi="Times New Roman" w:cs="Times New Roman"/>
          <w:b/>
          <w:bCs/>
          <w:color w:val="000000" w:themeColor="text1"/>
          <w:sz w:val="24"/>
          <w:szCs w:val="24"/>
        </w:rPr>
      </w:pPr>
      <w:r w:rsidRPr="4E746557">
        <w:rPr>
          <w:rStyle w:val="normaltextrun"/>
          <w:rFonts w:ascii="Times New Roman" w:eastAsia="Times New Roman" w:hAnsi="Times New Roman" w:cs="Times New Roman"/>
          <w:b/>
          <w:bCs/>
          <w:color w:val="000000" w:themeColor="text1"/>
          <w:sz w:val="24"/>
          <w:szCs w:val="24"/>
        </w:rPr>
        <w:t xml:space="preserve">Besöksnäringen tillför mervärde för invånare </w:t>
      </w:r>
    </w:p>
    <w:p w14:paraId="77D6F666" w14:textId="67725FAE" w:rsidR="28231C7C" w:rsidRDefault="5086EDE2" w:rsidP="00484A33">
      <w:pPr>
        <w:spacing w:beforeAutospacing="1" w:afterAutospacing="1"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 xml:space="preserve">Destinationen Göteborgs viktigaste ambassadörer är de egna invånarna och besöksnäringen ska verka för att tillföra mervärde och livskvalitet för dem som bor här. De egna invånarna står ofta för en </w:t>
      </w:r>
      <w:r w:rsidRPr="4E746557">
        <w:rPr>
          <w:rStyle w:val="normaltextrun"/>
          <w:rFonts w:ascii="Times New Roman" w:eastAsia="Times New Roman" w:hAnsi="Times New Roman" w:cs="Times New Roman"/>
          <w:color w:val="000000" w:themeColor="text1"/>
        </w:rPr>
        <w:lastRenderedPageBreak/>
        <w:t xml:space="preserve">betydande andel av besöken på exempelvis museum, restauranger och kulturscener och är därför en viktig del i att skapa omsättning och lönsamhet hos besöksnäringsföretagen på destinationen. Ett rikt utbud av upplevelser inom bland annat kultur, nöjen och aktiviteter skapar en levande stad och tillför värde för invånarna. Det stärker även Göteborgs attraktivitet som bostadsort. </w:t>
      </w:r>
      <w:r w:rsidR="2BC8C63B" w:rsidRPr="4E746557">
        <w:rPr>
          <w:rStyle w:val="normaltextrun"/>
          <w:rFonts w:ascii="Times New Roman" w:eastAsia="Times New Roman" w:hAnsi="Times New Roman" w:cs="Times New Roman"/>
          <w:color w:val="000000" w:themeColor="text1"/>
        </w:rPr>
        <w:t xml:space="preserve">Stadens universitet och lärosäten får bättre möjligheter att locka till sig studenter och näringslivets möjligheter att attrahera arbetskraft utifrån förbättras. Destinationens viktigaste ambassadörer är de egna invånarna. När de är nöjda med destinationens utbud av upplevelser bidrar de till en välkomnande atmosfär för besökare och rekommenderar vänner och bekanta att besöka Göteborg. </w:t>
      </w:r>
    </w:p>
    <w:p w14:paraId="779BE41E" w14:textId="29CD8482" w:rsidR="4075A125" w:rsidRDefault="2BC8C63B" w:rsidP="00484A33">
      <w:pPr>
        <w:spacing w:beforeAutospacing="1" w:afterAutospacing="1"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 xml:space="preserve">Möten mellan människor och deras upplevelser av konst och kultur öppnar dörrar till nya världar och hjälper människor att skapa sin identitet. Det bidrar till samhörighet och utgör grunden för framtidens historia och kulturarv. Även idrottsevenemang samt idrotts- och föreningslivet har en väldigt stor betydelse i invånarnas liv, dels utifrån ett hälsoperspektiv men även det samhällsengagemang som finns i föreningslivet bidrar till samhörighet vilket stärker invånarna. </w:t>
      </w:r>
    </w:p>
    <w:p w14:paraId="50C1BA12" w14:textId="4C613117" w:rsidR="6F553BC0" w:rsidRDefault="2BC8C63B" w:rsidP="00484A33">
      <w:pPr>
        <w:spacing w:beforeAutospacing="1" w:afterAutospacing="1"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 xml:space="preserve">Publiken som deltar i konstnärliga, idrotts- eller nöjesupplevelser efterfrågar även övrigt besöksnäringsutbud så som </w:t>
      </w:r>
      <w:r w:rsidR="065A0055" w:rsidRPr="4E746557">
        <w:rPr>
          <w:rStyle w:val="normaltextrun"/>
          <w:rFonts w:ascii="Times New Roman" w:eastAsia="Times New Roman" w:hAnsi="Times New Roman" w:cs="Times New Roman"/>
          <w:color w:val="000000" w:themeColor="text1"/>
        </w:rPr>
        <w:t xml:space="preserve">transporter, </w:t>
      </w:r>
      <w:r w:rsidRPr="4E746557">
        <w:rPr>
          <w:rStyle w:val="normaltextrun"/>
          <w:rFonts w:ascii="Times New Roman" w:eastAsia="Times New Roman" w:hAnsi="Times New Roman" w:cs="Times New Roman"/>
          <w:color w:val="000000" w:themeColor="text1"/>
        </w:rPr>
        <w:t xml:space="preserve">mat och dryck. De är alla viktiga delar i besöksnäringens ekosystem. För invånarna, som nästan dagligen kommer i kontakt med någon av besöksnäringens aktörer, är det avgörande att de känner av det mervärde som besöksnäringen tillför. De hinder som förhindrar människor att ta del av destinationens mångfacetterade utbud av upplevelser och tjänster bör därför förebyggas. Målet är en helt tillgänglig destination - både fysiskt, psykosocialt och socioekonomiskt. </w:t>
      </w:r>
    </w:p>
    <w:p w14:paraId="44A31703" w14:textId="74FA1561" w:rsidR="4075A125" w:rsidRDefault="638D6777" w:rsidP="00484A33">
      <w:pPr>
        <w:spacing w:beforeAutospacing="1" w:afterAutospacing="1" w:line="276" w:lineRule="auto"/>
        <w:rPr>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Liksom bland besökarna mäts NPS (Net Promotor Score) hos invånarna. Med NPS ställs en central fråga; om man</w:t>
      </w:r>
      <w:r w:rsidR="566AC6A6" w:rsidRPr="4E746557">
        <w:rPr>
          <w:rStyle w:val="normaltextrun"/>
          <w:rFonts w:ascii="Times New Roman" w:eastAsia="Times New Roman" w:hAnsi="Times New Roman" w:cs="Times New Roman"/>
          <w:color w:val="000000" w:themeColor="text1"/>
        </w:rPr>
        <w:t xml:space="preserve"> </w:t>
      </w:r>
      <w:r w:rsidRPr="4E746557">
        <w:rPr>
          <w:rStyle w:val="normaltextrun"/>
          <w:rFonts w:ascii="Times New Roman" w:eastAsia="Times New Roman" w:hAnsi="Times New Roman" w:cs="Times New Roman"/>
          <w:color w:val="000000" w:themeColor="text1"/>
        </w:rPr>
        <w:t xml:space="preserve">är villig att rekommendera </w:t>
      </w:r>
      <w:r w:rsidR="4FD24500" w:rsidRPr="4E746557">
        <w:rPr>
          <w:rStyle w:val="normaltextrun"/>
          <w:rFonts w:ascii="Times New Roman" w:eastAsia="Times New Roman" w:hAnsi="Times New Roman" w:cs="Times New Roman"/>
          <w:color w:val="000000" w:themeColor="text1"/>
        </w:rPr>
        <w:t>andra att</w:t>
      </w:r>
      <w:r w:rsidR="2C229A01" w:rsidRPr="4E746557">
        <w:rPr>
          <w:rStyle w:val="normaltextrun"/>
          <w:rFonts w:ascii="Times New Roman" w:eastAsia="Times New Roman" w:hAnsi="Times New Roman" w:cs="Times New Roman"/>
          <w:color w:val="000000" w:themeColor="text1"/>
        </w:rPr>
        <w:t xml:space="preserve"> </w:t>
      </w:r>
      <w:r w:rsidR="4FD24500" w:rsidRPr="4E746557">
        <w:rPr>
          <w:rStyle w:val="normaltextrun"/>
          <w:rFonts w:ascii="Times New Roman" w:eastAsia="Times New Roman" w:hAnsi="Times New Roman" w:cs="Times New Roman"/>
          <w:color w:val="000000" w:themeColor="text1"/>
        </w:rPr>
        <w:t xml:space="preserve">besöka </w:t>
      </w:r>
      <w:r w:rsidRPr="4E746557">
        <w:rPr>
          <w:rStyle w:val="normaltextrun"/>
          <w:rFonts w:ascii="Times New Roman" w:eastAsia="Times New Roman" w:hAnsi="Times New Roman" w:cs="Times New Roman"/>
          <w:color w:val="000000" w:themeColor="text1"/>
        </w:rPr>
        <w:t>destinationen</w:t>
      </w:r>
      <w:r w:rsidR="7D22F241" w:rsidRPr="4E746557">
        <w:rPr>
          <w:rStyle w:val="normaltextrun"/>
          <w:rFonts w:ascii="Times New Roman" w:eastAsia="Times New Roman" w:hAnsi="Times New Roman" w:cs="Times New Roman"/>
          <w:color w:val="000000" w:themeColor="text1"/>
        </w:rPr>
        <w:t xml:space="preserve"> Göteborg. </w:t>
      </w:r>
      <w:r w:rsidRPr="4E746557">
        <w:rPr>
          <w:rStyle w:val="normaltextrun"/>
          <w:rFonts w:ascii="Times New Roman" w:eastAsia="Times New Roman" w:hAnsi="Times New Roman" w:cs="Times New Roman"/>
          <w:color w:val="000000" w:themeColor="text1"/>
        </w:rPr>
        <w:t xml:space="preserve">De svarande får ange sin rekommendationsgrad på en skala från </w:t>
      </w:r>
      <w:r w:rsidR="005F2DB0" w:rsidRPr="4E746557">
        <w:rPr>
          <w:rStyle w:val="normaltextrun"/>
          <w:rFonts w:ascii="Times New Roman" w:eastAsia="Times New Roman" w:hAnsi="Times New Roman" w:cs="Times New Roman"/>
          <w:color w:val="000000" w:themeColor="text1"/>
        </w:rPr>
        <w:t>0–10</w:t>
      </w:r>
      <w:r w:rsidR="1C7C713E" w:rsidRPr="4E746557">
        <w:rPr>
          <w:rStyle w:val="normaltextrun"/>
          <w:rFonts w:ascii="Times New Roman" w:eastAsia="Times New Roman" w:hAnsi="Times New Roman" w:cs="Times New Roman"/>
          <w:color w:val="000000" w:themeColor="text1"/>
        </w:rPr>
        <w:t>, precis på samma sätt som besökarna. Vid analys av svaren från Invånarundersökningen studeras särskilt hur olika grupper invånare upp</w:t>
      </w:r>
      <w:r w:rsidR="5E5976AA" w:rsidRPr="4E746557">
        <w:rPr>
          <w:rStyle w:val="normaltextrun"/>
          <w:rFonts w:ascii="Times New Roman" w:eastAsia="Times New Roman" w:hAnsi="Times New Roman" w:cs="Times New Roman"/>
          <w:color w:val="000000" w:themeColor="text1"/>
        </w:rPr>
        <w:t xml:space="preserve">lever destinationen samt vilka delar av besöksnäringsutbudet man är nöjd eller mindre nöjd med. </w:t>
      </w:r>
      <w:r w:rsidR="2AEB9F2A" w:rsidRPr="4E746557">
        <w:rPr>
          <w:rStyle w:val="normaltextrun"/>
          <w:rFonts w:ascii="Times New Roman" w:eastAsia="Times New Roman" w:hAnsi="Times New Roman" w:cs="Times New Roman"/>
          <w:color w:val="000000" w:themeColor="text1"/>
        </w:rPr>
        <w:t xml:space="preserve">Det kan </w:t>
      </w:r>
      <w:r w:rsidR="005F2DB0" w:rsidRPr="4E746557">
        <w:rPr>
          <w:rStyle w:val="normaltextrun"/>
          <w:rFonts w:ascii="Times New Roman" w:eastAsia="Times New Roman" w:hAnsi="Times New Roman" w:cs="Times New Roman"/>
          <w:color w:val="000000" w:themeColor="text1"/>
        </w:rPr>
        <w:t>till exempel</w:t>
      </w:r>
      <w:r w:rsidR="2AEB9F2A" w:rsidRPr="4E746557">
        <w:rPr>
          <w:rStyle w:val="normaltextrun"/>
          <w:rFonts w:ascii="Times New Roman" w:eastAsia="Times New Roman" w:hAnsi="Times New Roman" w:cs="Times New Roman"/>
          <w:color w:val="000000" w:themeColor="text1"/>
        </w:rPr>
        <w:t xml:space="preserve"> handla om undergrupper baserade på stadsdelstillhörighet, hushållets ekonomiska situation alternativt kön, ålder eller etnisk bakgrund. </w:t>
      </w:r>
      <w:r w:rsidR="3A4C6199" w:rsidRPr="4E746557">
        <w:rPr>
          <w:rStyle w:val="normaltextrun"/>
          <w:rFonts w:ascii="Times New Roman" w:eastAsia="Times New Roman" w:hAnsi="Times New Roman" w:cs="Times New Roman"/>
          <w:color w:val="000000" w:themeColor="text1"/>
        </w:rPr>
        <w:t xml:space="preserve">Svaren kan ge en fingervisning över vilka områden som har störst förbättringspotential. </w:t>
      </w:r>
    </w:p>
    <w:p w14:paraId="1B0477CF" w14:textId="33D44150" w:rsidR="5EF79760" w:rsidRPr="00364CE3" w:rsidRDefault="2BC8C63B" w:rsidP="00484A33">
      <w:pPr>
        <w:spacing w:beforeAutospacing="1" w:afterAutospacing="1" w:line="276" w:lineRule="auto"/>
        <w:rPr>
          <w:rFonts w:ascii="Times New Roman" w:eastAsia="Times New Roman" w:hAnsi="Times New Roman" w:cs="Times New Roman"/>
          <w:color w:val="000000" w:themeColor="text1"/>
          <w:highlight w:val="cyan"/>
        </w:rPr>
      </w:pPr>
      <w:r w:rsidRPr="00364CE3">
        <w:rPr>
          <w:rStyle w:val="normaltextrun"/>
          <w:rFonts w:ascii="Times New Roman" w:eastAsia="Times New Roman" w:hAnsi="Times New Roman" w:cs="Times New Roman"/>
          <w:color w:val="000000" w:themeColor="text1"/>
        </w:rPr>
        <w:t xml:space="preserve">I </w:t>
      </w:r>
      <w:r w:rsidR="00364CE3">
        <w:rPr>
          <w:rStyle w:val="normaltextrun"/>
          <w:rFonts w:ascii="Times New Roman" w:eastAsia="Times New Roman" w:hAnsi="Times New Roman" w:cs="Times New Roman"/>
          <w:color w:val="000000" w:themeColor="text1"/>
        </w:rPr>
        <w:t>b</w:t>
      </w:r>
      <w:r w:rsidRPr="00364CE3">
        <w:rPr>
          <w:rStyle w:val="normaltextrun"/>
          <w:rFonts w:ascii="Times New Roman" w:eastAsia="Times New Roman" w:hAnsi="Times New Roman" w:cs="Times New Roman"/>
          <w:color w:val="000000" w:themeColor="text1"/>
        </w:rPr>
        <w:t>esöksnäringsprogrammet har följande två indikatorer valts för uppföljning av detta mål:</w:t>
      </w:r>
    </w:p>
    <w:p w14:paraId="64135ACD" w14:textId="32E430A9" w:rsidR="5EF79760" w:rsidRPr="00364CE3" w:rsidRDefault="2BC8C63B" w:rsidP="00484A33">
      <w:pPr>
        <w:pStyle w:val="Liststycke"/>
        <w:numPr>
          <w:ilvl w:val="0"/>
          <w:numId w:val="10"/>
        </w:numPr>
        <w:spacing w:beforeAutospacing="1" w:afterAutospacing="1" w:line="276" w:lineRule="auto"/>
        <w:rPr>
          <w:rStyle w:val="normaltextrun"/>
          <w:rFonts w:ascii="Times New Roman" w:eastAsia="Times New Roman" w:hAnsi="Times New Roman" w:cs="Times New Roman"/>
          <w:color w:val="000000" w:themeColor="text1"/>
        </w:rPr>
      </w:pPr>
      <w:r w:rsidRPr="00364CE3">
        <w:rPr>
          <w:rStyle w:val="normaltextrun"/>
          <w:rFonts w:ascii="Times New Roman" w:eastAsia="Times New Roman" w:hAnsi="Times New Roman" w:cs="Times New Roman"/>
          <w:color w:val="000000" w:themeColor="text1"/>
        </w:rPr>
        <w:t>NPS invånare</w:t>
      </w:r>
      <w:r w:rsidR="5650104F" w:rsidRPr="00364CE3">
        <w:rPr>
          <w:rStyle w:val="normaltextrun"/>
          <w:rFonts w:ascii="Times New Roman" w:eastAsia="Times New Roman" w:hAnsi="Times New Roman" w:cs="Times New Roman"/>
          <w:color w:val="000000" w:themeColor="text1"/>
        </w:rPr>
        <w:t xml:space="preserve"> (Källa: Invånarundersökning) </w:t>
      </w:r>
    </w:p>
    <w:p w14:paraId="74BE3A77" w14:textId="6243F0BF" w:rsidR="4075A125" w:rsidRDefault="40907288" w:rsidP="00364CE3">
      <w:pPr>
        <w:pStyle w:val="Liststycke"/>
        <w:numPr>
          <w:ilvl w:val="0"/>
          <w:numId w:val="10"/>
        </w:numPr>
        <w:spacing w:beforeAutospacing="1" w:afterAutospacing="1" w:line="276" w:lineRule="auto"/>
        <w:rPr>
          <w:rStyle w:val="normaltextrun"/>
          <w:rFonts w:ascii="Times New Roman" w:eastAsia="Times New Roman" w:hAnsi="Times New Roman" w:cs="Times New Roman"/>
          <w:color w:val="000000" w:themeColor="text1"/>
        </w:rPr>
      </w:pPr>
      <w:r w:rsidRPr="00364CE3">
        <w:rPr>
          <w:rStyle w:val="normaltextrun"/>
          <w:rFonts w:ascii="Times New Roman" w:eastAsia="Times New Roman" w:hAnsi="Times New Roman" w:cs="Times New Roman"/>
          <w:color w:val="000000" w:themeColor="text1"/>
        </w:rPr>
        <w:t xml:space="preserve">Andel invånare som anser att besöksnäringens utbud tillför värde för dem </w:t>
      </w:r>
      <w:r w:rsidR="6062CA51" w:rsidRPr="00364CE3">
        <w:rPr>
          <w:rStyle w:val="normaltextrun"/>
          <w:rFonts w:ascii="Times New Roman" w:eastAsia="Times New Roman" w:hAnsi="Times New Roman" w:cs="Times New Roman"/>
          <w:color w:val="000000" w:themeColor="text1"/>
        </w:rPr>
        <w:t>(Källa: Invånarundersökning)</w:t>
      </w:r>
    </w:p>
    <w:p w14:paraId="6377AEB2" w14:textId="77777777" w:rsidR="00364CE3" w:rsidRPr="00364CE3" w:rsidRDefault="00364CE3" w:rsidP="00364CE3">
      <w:pPr>
        <w:pStyle w:val="Liststycke"/>
        <w:spacing w:beforeAutospacing="1" w:afterAutospacing="1" w:line="276" w:lineRule="auto"/>
        <w:rPr>
          <w:rFonts w:ascii="Times New Roman" w:eastAsia="Times New Roman" w:hAnsi="Times New Roman" w:cs="Times New Roman"/>
          <w:color w:val="000000" w:themeColor="text1"/>
        </w:rPr>
      </w:pPr>
    </w:p>
    <w:p w14:paraId="04122F6B" w14:textId="1D8BEBAC" w:rsidR="5EF79760" w:rsidRDefault="2C401F1D" w:rsidP="00484A33">
      <w:pPr>
        <w:pStyle w:val="Liststycke"/>
        <w:numPr>
          <w:ilvl w:val="0"/>
          <w:numId w:val="11"/>
        </w:numPr>
        <w:spacing w:beforeAutospacing="1" w:afterAutospacing="1" w:line="276" w:lineRule="auto"/>
        <w:rPr>
          <w:rStyle w:val="normaltextrun"/>
          <w:rFonts w:ascii="Times New Roman" w:eastAsia="Times New Roman" w:hAnsi="Times New Roman" w:cs="Times New Roman"/>
          <w:b/>
          <w:bCs/>
          <w:color w:val="000000" w:themeColor="text1"/>
          <w:sz w:val="24"/>
          <w:szCs w:val="24"/>
        </w:rPr>
      </w:pPr>
      <w:r w:rsidRPr="4E746557">
        <w:rPr>
          <w:rStyle w:val="normaltextrun"/>
          <w:rFonts w:ascii="Times New Roman" w:eastAsia="Times New Roman" w:hAnsi="Times New Roman" w:cs="Times New Roman"/>
          <w:b/>
          <w:bCs/>
          <w:color w:val="000000" w:themeColor="text1"/>
          <w:sz w:val="24"/>
          <w:szCs w:val="24"/>
        </w:rPr>
        <w:t>Antal arbetstillfällen i b</w:t>
      </w:r>
      <w:r w:rsidR="2BC8C63B" w:rsidRPr="4E746557">
        <w:rPr>
          <w:rStyle w:val="normaltextrun"/>
          <w:rFonts w:ascii="Times New Roman" w:eastAsia="Times New Roman" w:hAnsi="Times New Roman" w:cs="Times New Roman"/>
          <w:b/>
          <w:bCs/>
          <w:color w:val="000000" w:themeColor="text1"/>
          <w:sz w:val="24"/>
          <w:szCs w:val="24"/>
        </w:rPr>
        <w:t xml:space="preserve">esöksnäringen </w:t>
      </w:r>
      <w:r w:rsidR="04C79DAA" w:rsidRPr="4E746557">
        <w:rPr>
          <w:rStyle w:val="normaltextrun"/>
          <w:rFonts w:ascii="Times New Roman" w:eastAsia="Times New Roman" w:hAnsi="Times New Roman" w:cs="Times New Roman"/>
          <w:b/>
          <w:bCs/>
          <w:color w:val="000000" w:themeColor="text1"/>
          <w:sz w:val="24"/>
          <w:szCs w:val="24"/>
        </w:rPr>
        <w:t>ökar</w:t>
      </w:r>
      <w:r w:rsidR="2BC8C63B" w:rsidRPr="4E746557">
        <w:rPr>
          <w:rStyle w:val="normaltextrun"/>
          <w:rFonts w:ascii="Times New Roman" w:eastAsia="Times New Roman" w:hAnsi="Times New Roman" w:cs="Times New Roman"/>
          <w:b/>
          <w:bCs/>
          <w:color w:val="000000" w:themeColor="text1"/>
          <w:sz w:val="24"/>
          <w:szCs w:val="24"/>
        </w:rPr>
        <w:t xml:space="preserve"> </w:t>
      </w:r>
    </w:p>
    <w:p w14:paraId="4288AB08" w14:textId="4CDFD899" w:rsidR="5EF79760" w:rsidRDefault="2BC8C63B" w:rsidP="00484A33">
      <w:pPr>
        <w:pStyle w:val="paragraph"/>
        <w:spacing w:line="276" w:lineRule="auto"/>
        <w:rPr>
          <w:rStyle w:val="normaltextrun"/>
          <w:color w:val="000000" w:themeColor="text1"/>
          <w:sz w:val="22"/>
          <w:szCs w:val="22"/>
        </w:rPr>
      </w:pPr>
      <w:r w:rsidRPr="4E746557">
        <w:rPr>
          <w:rStyle w:val="normaltextrun"/>
          <w:color w:val="000000" w:themeColor="text1"/>
          <w:sz w:val="22"/>
          <w:szCs w:val="22"/>
        </w:rPr>
        <w:t xml:space="preserve">Arbete utgör en betydande del av invånarnas livsvillkor genom att skapa försörjningsmöjligheter. Det stärker känslan av att ha kontroll över sin livssituation och ökar känslan av delaktighet i samhället. För många är arbetet dessutom en bas för det sociala livet. Samtidigt har kraven på arbetsmarknaden höjts i takt med att samhället har förändrats. Ofta är utbildning en förutsättning för att få ett arbete och därmed kunna försörja sig. </w:t>
      </w:r>
    </w:p>
    <w:p w14:paraId="269BED87" w14:textId="0758C0E7" w:rsidR="4075A125" w:rsidRDefault="4075A125" w:rsidP="00484A33">
      <w:pPr>
        <w:pStyle w:val="paragraph"/>
        <w:spacing w:line="276" w:lineRule="auto"/>
        <w:rPr>
          <w:rStyle w:val="normaltextrun"/>
          <w:color w:val="000000" w:themeColor="text1"/>
          <w:sz w:val="22"/>
          <w:szCs w:val="22"/>
        </w:rPr>
      </w:pPr>
    </w:p>
    <w:p w14:paraId="0A8F3CF2" w14:textId="56B3262D" w:rsidR="4075A125" w:rsidRDefault="70334763" w:rsidP="00364CE3">
      <w:pPr>
        <w:pStyle w:val="paragraph"/>
        <w:spacing w:line="276" w:lineRule="auto"/>
        <w:rPr>
          <w:color w:val="000000" w:themeColor="text1"/>
          <w:highlight w:val="cyan"/>
        </w:rPr>
      </w:pPr>
      <w:r w:rsidRPr="4E746557">
        <w:rPr>
          <w:rStyle w:val="normaltextrun"/>
          <w:color w:val="000000" w:themeColor="text1"/>
          <w:sz w:val="22"/>
          <w:szCs w:val="22"/>
        </w:rPr>
        <w:lastRenderedPageBreak/>
        <w:t>Besöksnäringen sysselsätter många människor och erbjuder i flera fall unga och utlandsfödda ett insteg på arbetsmarknaden.</w:t>
      </w:r>
      <w:r w:rsidR="2BC8C63B" w:rsidRPr="4E746557">
        <w:rPr>
          <w:rStyle w:val="normaltextrun"/>
          <w:color w:val="000000" w:themeColor="text1"/>
          <w:sz w:val="22"/>
          <w:szCs w:val="22"/>
        </w:rPr>
        <w:t xml:space="preserve"> För unga innebär </w:t>
      </w:r>
      <w:r w:rsidR="005F2DB0" w:rsidRPr="4E746557">
        <w:rPr>
          <w:rStyle w:val="normaltextrun"/>
          <w:color w:val="000000" w:themeColor="text1"/>
          <w:sz w:val="22"/>
          <w:szCs w:val="22"/>
        </w:rPr>
        <w:t>till exempel</w:t>
      </w:r>
      <w:r w:rsidR="2BC8C63B" w:rsidRPr="4E746557">
        <w:rPr>
          <w:rStyle w:val="normaltextrun"/>
          <w:color w:val="000000" w:themeColor="text1"/>
          <w:sz w:val="22"/>
          <w:szCs w:val="22"/>
        </w:rPr>
        <w:t xml:space="preserve"> sommarjobb och extrajobb under stud</w:t>
      </w:r>
      <w:r w:rsidR="2BC8C63B" w:rsidRPr="4E746557">
        <w:rPr>
          <w:color w:val="000000" w:themeColor="text1"/>
          <w:sz w:val="22"/>
          <w:szCs w:val="22"/>
        </w:rPr>
        <w:t>ietiden ökade försörjningsmöjligheter. För att fler invånare skall kunna försörja sig på heltid genom arbete i besöksnäringen är det viktigt att det även finns arbetstillfällen under hela året.</w:t>
      </w:r>
    </w:p>
    <w:p w14:paraId="05F3CC8E" w14:textId="0C688E6F" w:rsidR="5EF79760" w:rsidRPr="00364CE3" w:rsidRDefault="2BC8C63B" w:rsidP="00484A33">
      <w:pPr>
        <w:spacing w:beforeAutospacing="1" w:afterAutospacing="1" w:line="276" w:lineRule="auto"/>
        <w:rPr>
          <w:rFonts w:ascii="Times New Roman" w:eastAsia="Times New Roman" w:hAnsi="Times New Roman" w:cs="Times New Roman"/>
          <w:color w:val="000000" w:themeColor="text1"/>
        </w:rPr>
      </w:pPr>
      <w:r w:rsidRPr="00364CE3">
        <w:rPr>
          <w:rStyle w:val="normaltextrun"/>
          <w:rFonts w:ascii="Times New Roman" w:eastAsia="Times New Roman" w:hAnsi="Times New Roman" w:cs="Times New Roman"/>
          <w:color w:val="000000" w:themeColor="text1"/>
        </w:rPr>
        <w:t xml:space="preserve">I </w:t>
      </w:r>
      <w:r w:rsidR="00364CE3">
        <w:rPr>
          <w:rStyle w:val="normaltextrun"/>
          <w:rFonts w:ascii="Times New Roman" w:eastAsia="Times New Roman" w:hAnsi="Times New Roman" w:cs="Times New Roman"/>
          <w:color w:val="000000" w:themeColor="text1"/>
        </w:rPr>
        <w:t>b</w:t>
      </w:r>
      <w:r w:rsidRPr="00364CE3">
        <w:rPr>
          <w:rStyle w:val="normaltextrun"/>
          <w:rFonts w:ascii="Times New Roman" w:eastAsia="Times New Roman" w:hAnsi="Times New Roman" w:cs="Times New Roman"/>
          <w:color w:val="000000" w:themeColor="text1"/>
        </w:rPr>
        <w:t>esöksnäringsprogrammet har följande indikator valts för uppföljning av detta mål:</w:t>
      </w:r>
    </w:p>
    <w:p w14:paraId="20DD9137" w14:textId="2F818190" w:rsidR="4075A125" w:rsidRPr="00364CE3" w:rsidRDefault="3538B5DA" w:rsidP="00484A33">
      <w:pPr>
        <w:pStyle w:val="Liststycke"/>
        <w:numPr>
          <w:ilvl w:val="0"/>
          <w:numId w:val="9"/>
        </w:numPr>
        <w:spacing w:beforeAutospacing="1" w:afterAutospacing="1" w:line="276" w:lineRule="auto"/>
        <w:rPr>
          <w:rStyle w:val="normaltextrun"/>
          <w:rFonts w:eastAsiaTheme="minorEastAsia"/>
          <w:color w:val="000000" w:themeColor="text1"/>
        </w:rPr>
      </w:pPr>
      <w:r w:rsidRPr="00364CE3">
        <w:rPr>
          <w:rStyle w:val="normaltextrun"/>
          <w:rFonts w:ascii="Times New Roman" w:eastAsia="Times New Roman" w:hAnsi="Times New Roman" w:cs="Times New Roman"/>
          <w:color w:val="000000" w:themeColor="text1"/>
        </w:rPr>
        <w:t>A</w:t>
      </w:r>
      <w:r w:rsidR="2BC8C63B" w:rsidRPr="00364CE3">
        <w:rPr>
          <w:rStyle w:val="normaltextrun"/>
          <w:rFonts w:ascii="Times New Roman" w:eastAsia="Times New Roman" w:hAnsi="Times New Roman" w:cs="Times New Roman"/>
          <w:color w:val="000000" w:themeColor="text1"/>
        </w:rPr>
        <w:t xml:space="preserve">ntal </w:t>
      </w:r>
      <w:r w:rsidR="569AE01D" w:rsidRPr="00364CE3">
        <w:rPr>
          <w:rStyle w:val="normaltextrun"/>
          <w:rFonts w:ascii="Times New Roman" w:eastAsia="Times New Roman" w:hAnsi="Times New Roman" w:cs="Times New Roman"/>
          <w:color w:val="000000" w:themeColor="text1"/>
        </w:rPr>
        <w:t xml:space="preserve">anställda i besöksnäringsintensiva branscher </w:t>
      </w:r>
      <w:r w:rsidR="2B0E8113" w:rsidRPr="00364CE3">
        <w:rPr>
          <w:rStyle w:val="normaltextrun"/>
          <w:rFonts w:ascii="Times New Roman" w:eastAsia="Times New Roman" w:hAnsi="Times New Roman" w:cs="Times New Roman"/>
          <w:color w:val="000000" w:themeColor="text1"/>
        </w:rPr>
        <w:t>(Källa: Business Region Göteborg)</w:t>
      </w:r>
    </w:p>
    <w:p w14:paraId="44EA56E5" w14:textId="42B48C43" w:rsidR="36F06327" w:rsidRDefault="36F06327" w:rsidP="00484A33">
      <w:pPr>
        <w:spacing w:beforeAutospacing="1" w:afterAutospacing="1" w:line="276" w:lineRule="auto"/>
        <w:rPr>
          <w:rFonts w:ascii="Times New Roman" w:eastAsia="Times New Roman" w:hAnsi="Times New Roman" w:cs="Times New Roman"/>
          <w:i/>
          <w:iCs/>
          <w:color w:val="000000" w:themeColor="text1"/>
          <w:sz w:val="20"/>
          <w:szCs w:val="20"/>
        </w:rPr>
      </w:pPr>
      <w:r w:rsidRPr="6F553BC0">
        <w:rPr>
          <w:rFonts w:ascii="Times New Roman" w:eastAsia="Times New Roman" w:hAnsi="Times New Roman" w:cs="Times New Roman"/>
          <w:i/>
          <w:iCs/>
          <w:color w:val="000000" w:themeColor="text1"/>
          <w:sz w:val="20"/>
          <w:szCs w:val="20"/>
        </w:rPr>
        <w:t>Med besöksnäringsintensiva branscher avses</w:t>
      </w:r>
      <w:r w:rsidR="554BECC1" w:rsidRPr="6F553BC0">
        <w:rPr>
          <w:rFonts w:ascii="Times New Roman" w:eastAsia="Times New Roman" w:hAnsi="Times New Roman" w:cs="Times New Roman"/>
          <w:i/>
          <w:iCs/>
          <w:color w:val="000000" w:themeColor="text1"/>
          <w:sz w:val="20"/>
          <w:szCs w:val="20"/>
        </w:rPr>
        <w:t xml:space="preserve"> företag med</w:t>
      </w:r>
      <w:r w:rsidRPr="6F553BC0">
        <w:rPr>
          <w:rFonts w:ascii="Times New Roman" w:eastAsia="Times New Roman" w:hAnsi="Times New Roman" w:cs="Times New Roman"/>
          <w:i/>
          <w:iCs/>
          <w:color w:val="000000" w:themeColor="text1"/>
          <w:sz w:val="20"/>
          <w:szCs w:val="20"/>
        </w:rPr>
        <w:t xml:space="preserve"> verksamheter inom </w:t>
      </w:r>
      <w:r w:rsidR="64916D35" w:rsidRPr="6F553BC0">
        <w:rPr>
          <w:rFonts w:ascii="Times New Roman" w:eastAsia="Times New Roman" w:hAnsi="Times New Roman" w:cs="Times New Roman"/>
          <w:i/>
          <w:iCs/>
          <w:color w:val="000000" w:themeColor="text1"/>
          <w:sz w:val="20"/>
          <w:szCs w:val="20"/>
        </w:rPr>
        <w:t xml:space="preserve">nedan </w:t>
      </w:r>
      <w:r w:rsidR="52AFE5E8" w:rsidRPr="6F553BC0">
        <w:rPr>
          <w:rFonts w:ascii="Times New Roman" w:eastAsia="Times New Roman" w:hAnsi="Times New Roman" w:cs="Times New Roman"/>
          <w:i/>
          <w:iCs/>
          <w:color w:val="000000" w:themeColor="text1"/>
          <w:sz w:val="20"/>
          <w:szCs w:val="20"/>
        </w:rPr>
        <w:t xml:space="preserve">listade </w:t>
      </w:r>
      <w:r w:rsidRPr="6F553BC0">
        <w:rPr>
          <w:rFonts w:ascii="Times New Roman" w:eastAsia="Times New Roman" w:hAnsi="Times New Roman" w:cs="Times New Roman"/>
          <w:i/>
          <w:iCs/>
          <w:color w:val="000000" w:themeColor="text1"/>
          <w:sz w:val="20"/>
          <w:szCs w:val="20"/>
        </w:rPr>
        <w:t>SNI-koder</w:t>
      </w:r>
      <w:r w:rsidR="7E545E6B" w:rsidRPr="6F553BC0">
        <w:rPr>
          <w:rFonts w:ascii="Times New Roman" w:eastAsia="Times New Roman" w:hAnsi="Times New Roman" w:cs="Times New Roman"/>
          <w:i/>
          <w:iCs/>
          <w:color w:val="000000" w:themeColor="text1"/>
          <w:sz w:val="20"/>
          <w:szCs w:val="20"/>
        </w:rPr>
        <w:t xml:space="preserve">. Definitionen av besöksnäringsintensiva branscher avgränsas primärt till reseanledningar, boenden, restauranger </w:t>
      </w:r>
      <w:r w:rsidR="16ED57C1" w:rsidRPr="6F553BC0">
        <w:rPr>
          <w:rFonts w:ascii="Times New Roman" w:eastAsia="Times New Roman" w:hAnsi="Times New Roman" w:cs="Times New Roman"/>
          <w:i/>
          <w:iCs/>
          <w:color w:val="000000" w:themeColor="text1"/>
          <w:sz w:val="20"/>
          <w:szCs w:val="20"/>
        </w:rPr>
        <w:t xml:space="preserve">samt arrangörer och </w:t>
      </w:r>
      <w:r w:rsidR="7E545E6B" w:rsidRPr="6F553BC0">
        <w:rPr>
          <w:rFonts w:ascii="Times New Roman" w:eastAsia="Times New Roman" w:hAnsi="Times New Roman" w:cs="Times New Roman"/>
          <w:i/>
          <w:iCs/>
          <w:color w:val="000000" w:themeColor="text1"/>
          <w:sz w:val="20"/>
          <w:szCs w:val="20"/>
        </w:rPr>
        <w:t xml:space="preserve">förmedlare. Branscher som drar nytta av turism, </w:t>
      </w:r>
      <w:r w:rsidR="282ACD61" w:rsidRPr="6F553BC0">
        <w:rPr>
          <w:rFonts w:ascii="Times New Roman" w:eastAsia="Times New Roman" w:hAnsi="Times New Roman" w:cs="Times New Roman"/>
          <w:i/>
          <w:iCs/>
          <w:color w:val="000000" w:themeColor="text1"/>
          <w:sz w:val="20"/>
          <w:szCs w:val="20"/>
        </w:rPr>
        <w:t>bl.a. detalj</w:t>
      </w:r>
      <w:r w:rsidR="7E545E6B" w:rsidRPr="6F553BC0">
        <w:rPr>
          <w:rFonts w:ascii="Times New Roman" w:eastAsia="Times New Roman" w:hAnsi="Times New Roman" w:cs="Times New Roman"/>
          <w:i/>
          <w:iCs/>
          <w:color w:val="000000" w:themeColor="text1"/>
          <w:sz w:val="20"/>
          <w:szCs w:val="20"/>
        </w:rPr>
        <w:t xml:space="preserve">handel och </w:t>
      </w:r>
      <w:r w:rsidR="58E79448" w:rsidRPr="6F553BC0">
        <w:rPr>
          <w:rFonts w:ascii="Times New Roman" w:eastAsia="Times New Roman" w:hAnsi="Times New Roman" w:cs="Times New Roman"/>
          <w:i/>
          <w:iCs/>
          <w:color w:val="000000" w:themeColor="text1"/>
          <w:sz w:val="20"/>
          <w:szCs w:val="20"/>
        </w:rPr>
        <w:t>transportörer</w:t>
      </w:r>
      <w:r w:rsidR="7E545E6B" w:rsidRPr="6F553BC0">
        <w:rPr>
          <w:rFonts w:ascii="Times New Roman" w:eastAsia="Times New Roman" w:hAnsi="Times New Roman" w:cs="Times New Roman"/>
          <w:i/>
          <w:iCs/>
          <w:color w:val="000000" w:themeColor="text1"/>
          <w:sz w:val="20"/>
          <w:szCs w:val="20"/>
        </w:rPr>
        <w:t xml:space="preserve">, är inte </w:t>
      </w:r>
      <w:r w:rsidR="721D10F2" w:rsidRPr="6F553BC0">
        <w:rPr>
          <w:rFonts w:ascii="Times New Roman" w:eastAsia="Times New Roman" w:hAnsi="Times New Roman" w:cs="Times New Roman"/>
          <w:i/>
          <w:iCs/>
          <w:color w:val="000000" w:themeColor="text1"/>
          <w:sz w:val="20"/>
          <w:szCs w:val="20"/>
        </w:rPr>
        <w:t>inkluderade</w:t>
      </w:r>
      <w:r w:rsidR="7E545E6B" w:rsidRPr="6F553BC0">
        <w:rPr>
          <w:rFonts w:ascii="Times New Roman" w:eastAsia="Times New Roman" w:hAnsi="Times New Roman" w:cs="Times New Roman"/>
          <w:i/>
          <w:iCs/>
          <w:color w:val="000000" w:themeColor="text1"/>
          <w:sz w:val="20"/>
          <w:szCs w:val="20"/>
        </w:rPr>
        <w:t>.</w:t>
      </w:r>
    </w:p>
    <w:p w14:paraId="25C448C1" w14:textId="6459D8D6" w:rsidR="36F06327" w:rsidRDefault="36F06327" w:rsidP="00484A33">
      <w:pPr>
        <w:spacing w:line="276" w:lineRule="auto"/>
        <w:rPr>
          <w:rFonts w:ascii="Times New Roman" w:eastAsia="Times New Roman" w:hAnsi="Times New Roman" w:cs="Times New Roman"/>
          <w:i/>
          <w:iCs/>
          <w:color w:val="000000" w:themeColor="text1"/>
          <w:sz w:val="20"/>
          <w:szCs w:val="20"/>
          <w:highlight w:val="cyan"/>
        </w:rPr>
      </w:pPr>
      <w:r w:rsidRPr="7328303B">
        <w:rPr>
          <w:rFonts w:ascii="Times New Roman" w:eastAsia="Times New Roman" w:hAnsi="Times New Roman" w:cs="Times New Roman"/>
          <w:i/>
          <w:iCs/>
          <w:color w:val="000000" w:themeColor="text1"/>
          <w:sz w:val="20"/>
          <w:szCs w:val="20"/>
        </w:rPr>
        <w:t xml:space="preserve"> </w:t>
      </w:r>
    </w:p>
    <w:tbl>
      <w:tblPr>
        <w:tblStyle w:val="Tabellrutnt"/>
        <w:tblW w:w="0" w:type="auto"/>
        <w:tblLayout w:type="fixed"/>
        <w:tblLook w:val="06A0" w:firstRow="1" w:lastRow="0" w:firstColumn="1" w:lastColumn="0" w:noHBand="1" w:noVBand="1"/>
      </w:tblPr>
      <w:tblGrid>
        <w:gridCol w:w="7860"/>
      </w:tblGrid>
      <w:tr w:rsidR="7328303B" w14:paraId="24B3ADE7" w14:textId="77777777" w:rsidTr="7328303B">
        <w:trPr>
          <w:trHeight w:val="285"/>
        </w:trPr>
        <w:tc>
          <w:tcPr>
            <w:tcW w:w="78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698E2E" w14:textId="76B436FA" w:rsidR="7328303B" w:rsidRDefault="7328303B" w:rsidP="00484A33">
            <w:pPr>
              <w:spacing w:line="276" w:lineRule="auto"/>
              <w:jc w:val="center"/>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Bransch</w:t>
            </w:r>
          </w:p>
        </w:tc>
      </w:tr>
      <w:tr w:rsidR="7328303B" w14:paraId="02A8B45E" w14:textId="77777777" w:rsidTr="7328303B">
        <w:trPr>
          <w:trHeight w:val="285"/>
        </w:trPr>
        <w:tc>
          <w:tcPr>
            <w:tcW w:w="7860" w:type="dxa"/>
            <w:tcBorders>
              <w:top w:val="single" w:sz="4" w:space="0" w:color="auto"/>
              <w:left w:val="nil"/>
              <w:bottom w:val="nil"/>
              <w:right w:val="nil"/>
            </w:tcBorders>
            <w:vAlign w:val="center"/>
          </w:tcPr>
          <w:p w14:paraId="3DE8DD43" w14:textId="7B712102"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 xml:space="preserve">55.101 hotell med restaurang </w:t>
            </w:r>
          </w:p>
        </w:tc>
      </w:tr>
      <w:tr w:rsidR="7328303B" w14:paraId="3120AD2F" w14:textId="77777777" w:rsidTr="7328303B">
        <w:trPr>
          <w:trHeight w:val="285"/>
        </w:trPr>
        <w:tc>
          <w:tcPr>
            <w:tcW w:w="7860" w:type="dxa"/>
            <w:tcBorders>
              <w:top w:val="nil"/>
              <w:left w:val="nil"/>
              <w:bottom w:val="nil"/>
              <w:right w:val="nil"/>
            </w:tcBorders>
            <w:vAlign w:val="center"/>
          </w:tcPr>
          <w:p w14:paraId="7BCA9CCE" w14:textId="4F190FC6"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55.102 konferensanläggningar</w:t>
            </w:r>
          </w:p>
        </w:tc>
      </w:tr>
      <w:tr w:rsidR="7328303B" w14:paraId="1DA3C55D" w14:textId="77777777" w:rsidTr="7328303B">
        <w:trPr>
          <w:trHeight w:val="285"/>
        </w:trPr>
        <w:tc>
          <w:tcPr>
            <w:tcW w:w="7860" w:type="dxa"/>
            <w:tcBorders>
              <w:top w:val="nil"/>
              <w:left w:val="nil"/>
              <w:bottom w:val="nil"/>
              <w:right w:val="nil"/>
            </w:tcBorders>
            <w:vAlign w:val="center"/>
          </w:tcPr>
          <w:p w14:paraId="1A660B8B" w14:textId="55FC62D6"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55.103 hotell utan restaurang</w:t>
            </w:r>
          </w:p>
        </w:tc>
      </w:tr>
      <w:tr w:rsidR="7328303B" w14:paraId="423389DD" w14:textId="77777777" w:rsidTr="7328303B">
        <w:trPr>
          <w:trHeight w:val="285"/>
        </w:trPr>
        <w:tc>
          <w:tcPr>
            <w:tcW w:w="7860" w:type="dxa"/>
            <w:tcBorders>
              <w:top w:val="nil"/>
              <w:left w:val="nil"/>
              <w:bottom w:val="nil"/>
              <w:right w:val="nil"/>
            </w:tcBorders>
            <w:vAlign w:val="center"/>
          </w:tcPr>
          <w:p w14:paraId="3ABC51F5" w14:textId="232D61CE"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55.201 vandrarhem m.m.</w:t>
            </w:r>
          </w:p>
        </w:tc>
      </w:tr>
      <w:tr w:rsidR="7328303B" w14:paraId="58CAB60F" w14:textId="77777777" w:rsidTr="7328303B">
        <w:trPr>
          <w:trHeight w:val="285"/>
        </w:trPr>
        <w:tc>
          <w:tcPr>
            <w:tcW w:w="7860" w:type="dxa"/>
            <w:tcBorders>
              <w:top w:val="nil"/>
              <w:left w:val="nil"/>
              <w:bottom w:val="nil"/>
              <w:right w:val="nil"/>
            </w:tcBorders>
            <w:vAlign w:val="center"/>
          </w:tcPr>
          <w:p w14:paraId="36A8DFDF" w14:textId="2B6E14B4"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55.202 stugbyar m.m.</w:t>
            </w:r>
          </w:p>
        </w:tc>
      </w:tr>
      <w:tr w:rsidR="7328303B" w14:paraId="560F089A" w14:textId="77777777" w:rsidTr="7328303B">
        <w:trPr>
          <w:trHeight w:val="285"/>
        </w:trPr>
        <w:tc>
          <w:tcPr>
            <w:tcW w:w="7860" w:type="dxa"/>
            <w:tcBorders>
              <w:top w:val="nil"/>
              <w:left w:val="nil"/>
              <w:bottom w:val="nil"/>
              <w:right w:val="nil"/>
            </w:tcBorders>
            <w:vAlign w:val="center"/>
          </w:tcPr>
          <w:p w14:paraId="5F9A3177" w14:textId="62412EDC"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55.300 campingplatser m.m.</w:t>
            </w:r>
          </w:p>
        </w:tc>
      </w:tr>
      <w:tr w:rsidR="7328303B" w14:paraId="4C532F85" w14:textId="77777777" w:rsidTr="7328303B">
        <w:trPr>
          <w:trHeight w:val="285"/>
        </w:trPr>
        <w:tc>
          <w:tcPr>
            <w:tcW w:w="7860" w:type="dxa"/>
            <w:tcBorders>
              <w:top w:val="nil"/>
              <w:left w:val="nil"/>
              <w:bottom w:val="nil"/>
              <w:right w:val="nil"/>
            </w:tcBorders>
            <w:vAlign w:val="center"/>
          </w:tcPr>
          <w:p w14:paraId="39B7B1FE" w14:textId="04910A6C"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55.900 andra logier</w:t>
            </w:r>
          </w:p>
        </w:tc>
      </w:tr>
      <w:tr w:rsidR="7328303B" w14:paraId="6822CBE5" w14:textId="77777777" w:rsidTr="7328303B">
        <w:trPr>
          <w:trHeight w:val="285"/>
        </w:trPr>
        <w:tc>
          <w:tcPr>
            <w:tcW w:w="7860" w:type="dxa"/>
            <w:tcBorders>
              <w:top w:val="nil"/>
              <w:left w:val="nil"/>
              <w:bottom w:val="nil"/>
              <w:right w:val="nil"/>
            </w:tcBorders>
            <w:vAlign w:val="center"/>
          </w:tcPr>
          <w:p w14:paraId="43ECD052" w14:textId="2AF6B5A0"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56.100 restauranger och barer</w:t>
            </w:r>
          </w:p>
        </w:tc>
      </w:tr>
      <w:tr w:rsidR="7328303B" w14:paraId="0FCB4858" w14:textId="77777777" w:rsidTr="7328303B">
        <w:trPr>
          <w:trHeight w:val="285"/>
        </w:trPr>
        <w:tc>
          <w:tcPr>
            <w:tcW w:w="7860" w:type="dxa"/>
            <w:tcBorders>
              <w:top w:val="nil"/>
              <w:left w:val="nil"/>
              <w:bottom w:val="nil"/>
              <w:right w:val="nil"/>
            </w:tcBorders>
            <w:vAlign w:val="center"/>
          </w:tcPr>
          <w:p w14:paraId="02353EF7" w14:textId="65FB501D"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56.210 cateringföretag för enskilda evenemang</w:t>
            </w:r>
          </w:p>
        </w:tc>
      </w:tr>
      <w:tr w:rsidR="7328303B" w14:paraId="3C3397B8" w14:textId="77777777" w:rsidTr="7328303B">
        <w:trPr>
          <w:trHeight w:val="285"/>
        </w:trPr>
        <w:tc>
          <w:tcPr>
            <w:tcW w:w="7860" w:type="dxa"/>
            <w:tcBorders>
              <w:top w:val="nil"/>
              <w:left w:val="nil"/>
              <w:bottom w:val="nil"/>
              <w:right w:val="nil"/>
            </w:tcBorders>
            <w:vAlign w:val="center"/>
          </w:tcPr>
          <w:p w14:paraId="77A0FD4E" w14:textId="00ADC01D"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56.299 övriga cateringföretag</w:t>
            </w:r>
          </w:p>
        </w:tc>
      </w:tr>
      <w:tr w:rsidR="7328303B" w14:paraId="780FA476" w14:textId="77777777" w:rsidTr="7328303B">
        <w:trPr>
          <w:trHeight w:val="285"/>
        </w:trPr>
        <w:tc>
          <w:tcPr>
            <w:tcW w:w="7860" w:type="dxa"/>
            <w:tcBorders>
              <w:top w:val="nil"/>
              <w:left w:val="nil"/>
              <w:bottom w:val="nil"/>
              <w:right w:val="nil"/>
            </w:tcBorders>
            <w:vAlign w:val="center"/>
          </w:tcPr>
          <w:p w14:paraId="5679DECB" w14:textId="5739427D"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 xml:space="preserve">79.110 resebyråer </w:t>
            </w:r>
          </w:p>
        </w:tc>
      </w:tr>
      <w:tr w:rsidR="7328303B" w14:paraId="376761EF" w14:textId="77777777" w:rsidTr="7328303B">
        <w:trPr>
          <w:trHeight w:val="285"/>
        </w:trPr>
        <w:tc>
          <w:tcPr>
            <w:tcW w:w="7860" w:type="dxa"/>
            <w:tcBorders>
              <w:top w:val="nil"/>
              <w:left w:val="nil"/>
              <w:bottom w:val="nil"/>
              <w:right w:val="nil"/>
            </w:tcBorders>
            <w:vAlign w:val="center"/>
          </w:tcPr>
          <w:p w14:paraId="360DA139" w14:textId="721A44E8"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79.120 researrangörer</w:t>
            </w:r>
          </w:p>
        </w:tc>
      </w:tr>
      <w:tr w:rsidR="7328303B" w14:paraId="36253AF3" w14:textId="77777777" w:rsidTr="7328303B">
        <w:trPr>
          <w:trHeight w:val="285"/>
        </w:trPr>
        <w:tc>
          <w:tcPr>
            <w:tcW w:w="7860" w:type="dxa"/>
            <w:tcBorders>
              <w:top w:val="nil"/>
              <w:left w:val="nil"/>
              <w:bottom w:val="nil"/>
              <w:right w:val="nil"/>
            </w:tcBorders>
            <w:vAlign w:val="center"/>
          </w:tcPr>
          <w:p w14:paraId="2E10DD9C" w14:textId="0E51C809"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79.900 turistbyråer o.d.</w:t>
            </w:r>
          </w:p>
        </w:tc>
      </w:tr>
      <w:tr w:rsidR="7328303B" w14:paraId="7A03E1F6" w14:textId="77777777" w:rsidTr="7328303B">
        <w:trPr>
          <w:trHeight w:val="285"/>
        </w:trPr>
        <w:tc>
          <w:tcPr>
            <w:tcW w:w="7860" w:type="dxa"/>
            <w:tcBorders>
              <w:top w:val="nil"/>
              <w:left w:val="nil"/>
              <w:bottom w:val="nil"/>
              <w:right w:val="nil"/>
            </w:tcBorders>
            <w:vAlign w:val="center"/>
          </w:tcPr>
          <w:p w14:paraId="48FDA934" w14:textId="6990F632"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 xml:space="preserve">84.125 myndigheter som administrerar program för kultur, miljö, boende </w:t>
            </w:r>
          </w:p>
        </w:tc>
      </w:tr>
      <w:tr w:rsidR="7328303B" w14:paraId="219B41DC" w14:textId="77777777" w:rsidTr="7328303B">
        <w:trPr>
          <w:trHeight w:val="285"/>
        </w:trPr>
        <w:tc>
          <w:tcPr>
            <w:tcW w:w="7860" w:type="dxa"/>
            <w:tcBorders>
              <w:top w:val="nil"/>
              <w:left w:val="nil"/>
              <w:bottom w:val="nil"/>
              <w:right w:val="nil"/>
            </w:tcBorders>
            <w:vAlign w:val="center"/>
          </w:tcPr>
          <w:p w14:paraId="60FF5C88" w14:textId="51F93AAF"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90.010 producenter av konstnärliga, litterära och artistiska verk</w:t>
            </w:r>
          </w:p>
        </w:tc>
      </w:tr>
      <w:tr w:rsidR="7328303B" w14:paraId="434D5932" w14:textId="77777777" w:rsidTr="7328303B">
        <w:trPr>
          <w:trHeight w:val="285"/>
        </w:trPr>
        <w:tc>
          <w:tcPr>
            <w:tcW w:w="7860" w:type="dxa"/>
            <w:tcBorders>
              <w:top w:val="nil"/>
              <w:left w:val="nil"/>
              <w:bottom w:val="nil"/>
              <w:right w:val="nil"/>
            </w:tcBorders>
            <w:vAlign w:val="center"/>
          </w:tcPr>
          <w:p w14:paraId="52A5180A" w14:textId="51FA98A1"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90.020 stödföretag till artistisk verksamhet</w:t>
            </w:r>
          </w:p>
        </w:tc>
      </w:tr>
      <w:tr w:rsidR="7328303B" w14:paraId="1ED9CEF8" w14:textId="77777777" w:rsidTr="7328303B">
        <w:trPr>
          <w:trHeight w:val="285"/>
        </w:trPr>
        <w:tc>
          <w:tcPr>
            <w:tcW w:w="7860" w:type="dxa"/>
            <w:tcBorders>
              <w:top w:val="nil"/>
              <w:left w:val="nil"/>
              <w:bottom w:val="nil"/>
              <w:right w:val="nil"/>
            </w:tcBorders>
            <w:vAlign w:val="center"/>
          </w:tcPr>
          <w:p w14:paraId="6E6FE968" w14:textId="26CD3146"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90.030 enskilda artister, författare, journalister m.fl.</w:t>
            </w:r>
          </w:p>
        </w:tc>
      </w:tr>
      <w:tr w:rsidR="7328303B" w14:paraId="6355527D" w14:textId="77777777" w:rsidTr="7328303B">
        <w:trPr>
          <w:trHeight w:val="285"/>
        </w:trPr>
        <w:tc>
          <w:tcPr>
            <w:tcW w:w="7860" w:type="dxa"/>
            <w:tcBorders>
              <w:top w:val="nil"/>
              <w:left w:val="nil"/>
              <w:bottom w:val="nil"/>
              <w:right w:val="nil"/>
            </w:tcBorders>
            <w:vAlign w:val="center"/>
          </w:tcPr>
          <w:p w14:paraId="64CC1518" w14:textId="248FFA65"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90.040 teater- och konserthusföretag o.d.</w:t>
            </w:r>
          </w:p>
        </w:tc>
      </w:tr>
      <w:tr w:rsidR="7328303B" w14:paraId="1CBE72C3" w14:textId="77777777" w:rsidTr="7328303B">
        <w:trPr>
          <w:trHeight w:val="285"/>
        </w:trPr>
        <w:tc>
          <w:tcPr>
            <w:tcW w:w="7860" w:type="dxa"/>
            <w:tcBorders>
              <w:top w:val="nil"/>
              <w:left w:val="nil"/>
              <w:bottom w:val="nil"/>
              <w:right w:val="nil"/>
            </w:tcBorders>
            <w:vAlign w:val="center"/>
          </w:tcPr>
          <w:p w14:paraId="3B9B000C" w14:textId="41ACD231"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 xml:space="preserve">91.020 museer </w:t>
            </w:r>
          </w:p>
        </w:tc>
      </w:tr>
      <w:tr w:rsidR="7328303B" w14:paraId="2DF799A4" w14:textId="77777777" w:rsidTr="7328303B">
        <w:trPr>
          <w:trHeight w:val="285"/>
        </w:trPr>
        <w:tc>
          <w:tcPr>
            <w:tcW w:w="7860" w:type="dxa"/>
            <w:tcBorders>
              <w:top w:val="nil"/>
              <w:left w:val="nil"/>
              <w:bottom w:val="nil"/>
              <w:right w:val="nil"/>
            </w:tcBorders>
            <w:vAlign w:val="center"/>
          </w:tcPr>
          <w:p w14:paraId="345D5A06" w14:textId="4E2B9B55"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91.030 kulturminnesinstitutioner</w:t>
            </w:r>
          </w:p>
        </w:tc>
      </w:tr>
      <w:tr w:rsidR="7328303B" w14:paraId="4CF2A4FB" w14:textId="77777777" w:rsidTr="7328303B">
        <w:trPr>
          <w:trHeight w:val="285"/>
        </w:trPr>
        <w:tc>
          <w:tcPr>
            <w:tcW w:w="7860" w:type="dxa"/>
            <w:tcBorders>
              <w:top w:val="nil"/>
              <w:left w:val="nil"/>
              <w:bottom w:val="nil"/>
              <w:right w:val="nil"/>
            </w:tcBorders>
            <w:vAlign w:val="center"/>
          </w:tcPr>
          <w:p w14:paraId="6F583128" w14:textId="2965EDAE"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91.040 botaniska trädgårdar, djurparker och naturreservat</w:t>
            </w:r>
          </w:p>
        </w:tc>
      </w:tr>
      <w:tr w:rsidR="7328303B" w14:paraId="7A9D9B37" w14:textId="77777777" w:rsidTr="7328303B">
        <w:trPr>
          <w:trHeight w:val="285"/>
        </w:trPr>
        <w:tc>
          <w:tcPr>
            <w:tcW w:w="7860" w:type="dxa"/>
            <w:tcBorders>
              <w:top w:val="nil"/>
              <w:left w:val="nil"/>
              <w:bottom w:val="nil"/>
              <w:right w:val="nil"/>
            </w:tcBorders>
            <w:vAlign w:val="center"/>
          </w:tcPr>
          <w:p w14:paraId="439E5BD8" w14:textId="33EAA039"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93.111 skidsportanläggningar</w:t>
            </w:r>
          </w:p>
        </w:tc>
      </w:tr>
      <w:tr w:rsidR="7328303B" w14:paraId="3C42EF14" w14:textId="77777777" w:rsidTr="7328303B">
        <w:trPr>
          <w:trHeight w:val="285"/>
        </w:trPr>
        <w:tc>
          <w:tcPr>
            <w:tcW w:w="7860" w:type="dxa"/>
            <w:tcBorders>
              <w:top w:val="nil"/>
              <w:left w:val="nil"/>
              <w:bottom w:val="nil"/>
              <w:right w:val="nil"/>
            </w:tcBorders>
            <w:vAlign w:val="center"/>
          </w:tcPr>
          <w:p w14:paraId="22D12494" w14:textId="44705272"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93.112 golfbanor, golfklubbar</w:t>
            </w:r>
          </w:p>
        </w:tc>
      </w:tr>
      <w:tr w:rsidR="7328303B" w14:paraId="6830C75E" w14:textId="77777777" w:rsidTr="7328303B">
        <w:trPr>
          <w:trHeight w:val="285"/>
        </w:trPr>
        <w:tc>
          <w:tcPr>
            <w:tcW w:w="7860" w:type="dxa"/>
            <w:tcBorders>
              <w:top w:val="nil"/>
              <w:left w:val="nil"/>
              <w:bottom w:val="nil"/>
              <w:right w:val="nil"/>
            </w:tcBorders>
            <w:vAlign w:val="center"/>
          </w:tcPr>
          <w:p w14:paraId="42FF520A" w14:textId="1FDBE804"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93.113 motorbanor</w:t>
            </w:r>
          </w:p>
        </w:tc>
      </w:tr>
      <w:tr w:rsidR="7328303B" w14:paraId="324E9BCD" w14:textId="77777777" w:rsidTr="7328303B">
        <w:trPr>
          <w:trHeight w:val="285"/>
        </w:trPr>
        <w:tc>
          <w:tcPr>
            <w:tcW w:w="7860" w:type="dxa"/>
            <w:tcBorders>
              <w:top w:val="nil"/>
              <w:left w:val="nil"/>
              <w:bottom w:val="nil"/>
              <w:right w:val="nil"/>
            </w:tcBorders>
            <w:vAlign w:val="center"/>
          </w:tcPr>
          <w:p w14:paraId="44BFE8A7" w14:textId="7352CDDC"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93.114 trav- och galoppbanor</w:t>
            </w:r>
          </w:p>
        </w:tc>
      </w:tr>
      <w:tr w:rsidR="7328303B" w14:paraId="2A6CC3E0" w14:textId="77777777" w:rsidTr="7328303B">
        <w:trPr>
          <w:trHeight w:val="285"/>
        </w:trPr>
        <w:tc>
          <w:tcPr>
            <w:tcW w:w="7860" w:type="dxa"/>
            <w:tcBorders>
              <w:top w:val="nil"/>
              <w:left w:val="nil"/>
              <w:bottom w:val="nil"/>
              <w:right w:val="nil"/>
            </w:tcBorders>
            <w:vAlign w:val="center"/>
          </w:tcPr>
          <w:p w14:paraId="659CB34D" w14:textId="1B129573"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93.119 sporthallar, idrottsplatser och andra sportanläggningar</w:t>
            </w:r>
          </w:p>
        </w:tc>
      </w:tr>
      <w:tr w:rsidR="7328303B" w14:paraId="32156A55" w14:textId="77777777" w:rsidTr="7328303B">
        <w:trPr>
          <w:trHeight w:val="285"/>
        </w:trPr>
        <w:tc>
          <w:tcPr>
            <w:tcW w:w="7860" w:type="dxa"/>
            <w:tcBorders>
              <w:top w:val="nil"/>
              <w:left w:val="nil"/>
              <w:bottom w:val="nil"/>
              <w:right w:val="nil"/>
            </w:tcBorders>
            <w:vAlign w:val="center"/>
          </w:tcPr>
          <w:p w14:paraId="2BD038CF" w14:textId="58296F90"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93.120 sportklubbar och idrottsföreningar</w:t>
            </w:r>
          </w:p>
        </w:tc>
      </w:tr>
      <w:tr w:rsidR="7328303B" w14:paraId="6C7485E8" w14:textId="77777777" w:rsidTr="7328303B">
        <w:trPr>
          <w:trHeight w:val="285"/>
        </w:trPr>
        <w:tc>
          <w:tcPr>
            <w:tcW w:w="7860" w:type="dxa"/>
            <w:tcBorders>
              <w:top w:val="nil"/>
              <w:left w:val="nil"/>
              <w:bottom w:val="nil"/>
              <w:right w:val="nil"/>
            </w:tcBorders>
            <w:vAlign w:val="center"/>
          </w:tcPr>
          <w:p w14:paraId="67F24F7F" w14:textId="14E2715B"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93.191 tävlingsstall</w:t>
            </w:r>
          </w:p>
        </w:tc>
      </w:tr>
      <w:tr w:rsidR="7328303B" w14:paraId="3DCCEBC7" w14:textId="77777777" w:rsidTr="7328303B">
        <w:trPr>
          <w:trHeight w:val="285"/>
        </w:trPr>
        <w:tc>
          <w:tcPr>
            <w:tcW w:w="7860" w:type="dxa"/>
            <w:tcBorders>
              <w:top w:val="nil"/>
              <w:left w:val="nil"/>
              <w:bottom w:val="nil"/>
              <w:right w:val="nil"/>
            </w:tcBorders>
            <w:vAlign w:val="center"/>
          </w:tcPr>
          <w:p w14:paraId="66C01BC1" w14:textId="183FA7E2"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93.199 professionella idrottsutövare, sportarrangörer, sportadministratörer</w:t>
            </w:r>
          </w:p>
        </w:tc>
      </w:tr>
      <w:tr w:rsidR="7328303B" w14:paraId="0FA56FBD" w14:textId="77777777" w:rsidTr="7328303B">
        <w:trPr>
          <w:trHeight w:val="285"/>
        </w:trPr>
        <w:tc>
          <w:tcPr>
            <w:tcW w:w="7860" w:type="dxa"/>
            <w:tcBorders>
              <w:top w:val="nil"/>
              <w:left w:val="nil"/>
              <w:bottom w:val="nil"/>
              <w:right w:val="nil"/>
            </w:tcBorders>
            <w:vAlign w:val="center"/>
          </w:tcPr>
          <w:p w14:paraId="54EA22F5" w14:textId="5CAD16E6"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93.210 nöjes- och temaparker</w:t>
            </w:r>
          </w:p>
        </w:tc>
      </w:tr>
      <w:tr w:rsidR="7328303B" w14:paraId="6F0A61BA" w14:textId="77777777" w:rsidTr="7328303B">
        <w:trPr>
          <w:trHeight w:val="285"/>
        </w:trPr>
        <w:tc>
          <w:tcPr>
            <w:tcW w:w="7860" w:type="dxa"/>
            <w:tcBorders>
              <w:top w:val="nil"/>
              <w:left w:val="nil"/>
              <w:bottom w:val="nil"/>
              <w:right w:val="nil"/>
            </w:tcBorders>
            <w:vAlign w:val="center"/>
          </w:tcPr>
          <w:p w14:paraId="0FC5D8B8" w14:textId="24F94A71" w:rsidR="7328303B" w:rsidRDefault="7328303B" w:rsidP="00484A33">
            <w:pPr>
              <w:spacing w:line="276" w:lineRule="auto"/>
              <w:rPr>
                <w:rFonts w:ascii="Times New Roman" w:eastAsia="Times New Roman" w:hAnsi="Times New Roman" w:cs="Times New Roman"/>
                <w:color w:val="000000" w:themeColor="text1"/>
                <w:sz w:val="20"/>
                <w:szCs w:val="20"/>
              </w:rPr>
            </w:pPr>
            <w:r w:rsidRPr="7328303B">
              <w:rPr>
                <w:rFonts w:ascii="Times New Roman" w:eastAsia="Times New Roman" w:hAnsi="Times New Roman" w:cs="Times New Roman"/>
                <w:color w:val="000000" w:themeColor="text1"/>
                <w:sz w:val="20"/>
                <w:szCs w:val="20"/>
              </w:rPr>
              <w:t>93.290 övriga fritids- och nöjesanläggningar</w:t>
            </w:r>
          </w:p>
        </w:tc>
      </w:tr>
    </w:tbl>
    <w:p w14:paraId="2F616F06" w14:textId="1239427E" w:rsidR="4075A125" w:rsidRDefault="5EF79760" w:rsidP="00484A33">
      <w:pPr>
        <w:spacing w:beforeAutospacing="1" w:afterAutospacing="1" w:line="276" w:lineRule="auto"/>
        <w:rPr>
          <w:rFonts w:ascii="Times New Roman" w:eastAsia="Times New Roman" w:hAnsi="Times New Roman" w:cs="Times New Roman"/>
          <w:color w:val="000000" w:themeColor="text1"/>
          <w:sz w:val="24"/>
          <w:szCs w:val="24"/>
        </w:rPr>
      </w:pPr>
      <w:r w:rsidRPr="7D0353C0">
        <w:rPr>
          <w:rStyle w:val="normaltextrun"/>
          <w:rFonts w:ascii="Times New Roman" w:eastAsia="Times New Roman" w:hAnsi="Times New Roman" w:cs="Times New Roman"/>
          <w:color w:val="FF0000"/>
        </w:rPr>
        <w:lastRenderedPageBreak/>
        <w:t xml:space="preserve"> </w:t>
      </w:r>
      <w:r w:rsidR="2BC8C63B" w:rsidRPr="4E746557">
        <w:rPr>
          <w:rStyle w:val="normaltextrun"/>
          <w:rFonts w:ascii="Times New Roman" w:eastAsia="Times New Roman" w:hAnsi="Times New Roman" w:cs="Times New Roman"/>
          <w:b/>
          <w:bCs/>
          <w:color w:val="000000" w:themeColor="text1"/>
          <w:sz w:val="24"/>
          <w:szCs w:val="24"/>
        </w:rPr>
        <w:t xml:space="preserve">Perspektiv: Verka </w:t>
      </w:r>
    </w:p>
    <w:p w14:paraId="59A72AF0" w14:textId="39D7CBEF" w:rsidR="5EF79760" w:rsidRDefault="2BC8C63B" w:rsidP="00484A33">
      <w:pPr>
        <w:pStyle w:val="Liststycke"/>
        <w:numPr>
          <w:ilvl w:val="0"/>
          <w:numId w:val="8"/>
        </w:numPr>
        <w:spacing w:beforeAutospacing="1" w:afterAutospacing="1" w:line="276" w:lineRule="auto"/>
        <w:rPr>
          <w:rFonts w:ascii="Times New Roman" w:eastAsia="Times New Roman" w:hAnsi="Times New Roman" w:cs="Times New Roman"/>
          <w:b/>
          <w:bCs/>
          <w:color w:val="000000" w:themeColor="text1"/>
          <w:sz w:val="24"/>
          <w:szCs w:val="24"/>
        </w:rPr>
      </w:pPr>
      <w:r w:rsidRPr="4E746557">
        <w:rPr>
          <w:rStyle w:val="normaltextrun"/>
          <w:rFonts w:ascii="Times New Roman" w:eastAsia="Times New Roman" w:hAnsi="Times New Roman" w:cs="Times New Roman"/>
          <w:b/>
          <w:bCs/>
          <w:color w:val="000000" w:themeColor="text1"/>
          <w:sz w:val="24"/>
          <w:szCs w:val="24"/>
        </w:rPr>
        <w:t xml:space="preserve">Besöksnäringen växer i takt med en växande efterfrågan </w:t>
      </w:r>
    </w:p>
    <w:p w14:paraId="170D86FA" w14:textId="7ADC5742" w:rsidR="5EF79760" w:rsidRDefault="2B14CFB6" w:rsidP="00484A33">
      <w:pPr>
        <w:pStyle w:val="paragraph"/>
        <w:spacing w:line="276" w:lineRule="auto"/>
        <w:rPr>
          <w:rStyle w:val="normaltextrun"/>
          <w:color w:val="000000" w:themeColor="text1"/>
          <w:sz w:val="22"/>
          <w:szCs w:val="22"/>
        </w:rPr>
      </w:pPr>
      <w:r w:rsidRPr="5349B30D">
        <w:rPr>
          <w:rStyle w:val="normaltextrun"/>
          <w:color w:val="000000" w:themeColor="text1"/>
          <w:sz w:val="22"/>
          <w:szCs w:val="22"/>
        </w:rPr>
        <w:t>En ekonomiskt hållbar destination kännetecknas av ett lokalt näringsliv med god lönsamhet som skapar arbetstillfällen och genererar skatteintäkter. En balans mellan efterfrågan och utbud uppnås genom att näringens aktörer driver efterfrågan genom nya reseanledningar, ökad tillgänglighet samt ett stärkt destinationsvarumärke</w:t>
      </w:r>
      <w:r w:rsidR="68735153" w:rsidRPr="5349B30D">
        <w:rPr>
          <w:rStyle w:val="normaltextrun"/>
          <w:color w:val="000000" w:themeColor="text1"/>
          <w:sz w:val="22"/>
          <w:szCs w:val="22"/>
        </w:rPr>
        <w:t>. Detta</w:t>
      </w:r>
      <w:r w:rsidRPr="5349B30D">
        <w:rPr>
          <w:rStyle w:val="normaltextrun"/>
          <w:color w:val="000000" w:themeColor="text1"/>
          <w:sz w:val="22"/>
          <w:szCs w:val="22"/>
        </w:rPr>
        <w:t xml:space="preserve"> samtidigt som etablerade och nya aktörer ges förutsättningar att utvecklas i ett näringslivsklimat som uppmuntrar entreprenörskap och innovation.</w:t>
      </w:r>
      <w:r w:rsidR="0044DBDD" w:rsidRPr="5349B30D">
        <w:rPr>
          <w:rStyle w:val="normaltextrun"/>
          <w:color w:val="000000" w:themeColor="text1"/>
          <w:sz w:val="22"/>
          <w:szCs w:val="22"/>
        </w:rPr>
        <w:t xml:space="preserve"> På en hållbar destination råder goda förutsättningar för alla typer av verksamheter i besöksnäringen att utvecklas och skapa tillväxt. För att möjliggöra en hållbar tillväxt behöver både befintliga aktörer ges möjligheter att utvecklas och nya aktörer välkomnas att etablera sig på destinationen. Såväl fysiska som digitala aktörer är viktiga för besöksnäringens framtida utveckling.</w:t>
      </w:r>
      <w:r w:rsidRPr="5349B30D">
        <w:rPr>
          <w:rStyle w:val="normaltextrun"/>
          <w:color w:val="000000" w:themeColor="text1"/>
          <w:sz w:val="22"/>
          <w:szCs w:val="22"/>
        </w:rPr>
        <w:t xml:space="preserve"> </w:t>
      </w:r>
    </w:p>
    <w:p w14:paraId="57D1D3F3" w14:textId="06B26729" w:rsidR="5EF79760" w:rsidRDefault="2B14CFB6" w:rsidP="00364CE3">
      <w:pPr>
        <w:spacing w:beforeAutospacing="1" w:afterAutospacing="1" w:line="276" w:lineRule="auto"/>
        <w:rPr>
          <w:rStyle w:val="normaltextrun"/>
          <w:color w:val="000000" w:themeColor="text1"/>
        </w:rPr>
      </w:pPr>
      <w:r w:rsidRPr="4E746557">
        <w:rPr>
          <w:rStyle w:val="normaltextrun"/>
          <w:rFonts w:ascii="Times New Roman" w:eastAsia="Times New Roman" w:hAnsi="Times New Roman" w:cs="Times New Roman"/>
          <w:color w:val="000000" w:themeColor="text1"/>
        </w:rPr>
        <w:t xml:space="preserve">Under lång tid har gästnätter på kommersiella boendeanläggningar använts som det främsta måttet på besöksnäringens utveckling. I takt med att fler besökare önskar övernatta på andra sätt så som exempelvis privatuthyrda lägenheter eller camping finns behov av att komplettera med nya mått för att mäta besöksnäringens </w:t>
      </w:r>
      <w:r w:rsidR="235C74D4" w:rsidRPr="4E746557">
        <w:rPr>
          <w:rStyle w:val="normaltextrun"/>
          <w:rFonts w:ascii="Times New Roman" w:eastAsia="Times New Roman" w:hAnsi="Times New Roman" w:cs="Times New Roman"/>
          <w:color w:val="000000" w:themeColor="text1"/>
        </w:rPr>
        <w:t>utveckling</w:t>
      </w:r>
      <w:r w:rsidRPr="4E746557">
        <w:rPr>
          <w:rStyle w:val="normaltextrun"/>
          <w:rFonts w:ascii="Times New Roman" w:eastAsia="Times New Roman" w:hAnsi="Times New Roman" w:cs="Times New Roman"/>
          <w:color w:val="000000" w:themeColor="text1"/>
        </w:rPr>
        <w:t>.</w:t>
      </w:r>
      <w:r w:rsidR="198C5CCB" w:rsidRPr="4E746557">
        <w:rPr>
          <w:rStyle w:val="normaltextrun"/>
          <w:rFonts w:ascii="Times New Roman" w:eastAsia="Times New Roman" w:hAnsi="Times New Roman" w:cs="Times New Roman"/>
          <w:color w:val="000000" w:themeColor="text1"/>
        </w:rPr>
        <w:t xml:space="preserve"> </w:t>
      </w:r>
      <w:r w:rsidRPr="4E746557">
        <w:rPr>
          <w:rStyle w:val="normaltextrun"/>
          <w:rFonts w:ascii="Times New Roman" w:eastAsia="Times New Roman" w:hAnsi="Times New Roman" w:cs="Times New Roman"/>
          <w:color w:val="000000" w:themeColor="text1"/>
        </w:rPr>
        <w:t xml:space="preserve">Det är samtidigt viktigt att det kommersiella boendeutbudet fortsatt tillgodoser efterfrågan som kan fluktuera över säsonger och veckodagar. </w:t>
      </w:r>
      <w:r w:rsidRPr="4E746557">
        <w:rPr>
          <w:rStyle w:val="normaltextrun"/>
          <w:color w:val="000000" w:themeColor="text1"/>
        </w:rPr>
        <w:t xml:space="preserve"> </w:t>
      </w:r>
    </w:p>
    <w:p w14:paraId="47701B61" w14:textId="052C397C" w:rsidR="48798487" w:rsidRDefault="2B14CFB6" w:rsidP="00364CE3">
      <w:pPr>
        <w:pStyle w:val="paragraph"/>
        <w:spacing w:line="276" w:lineRule="auto"/>
        <w:rPr>
          <w:rStyle w:val="normaltextrun"/>
          <w:color w:val="000000" w:themeColor="text1"/>
        </w:rPr>
      </w:pPr>
      <w:r w:rsidRPr="4E746557">
        <w:rPr>
          <w:rStyle w:val="normaltextrun"/>
          <w:color w:val="000000" w:themeColor="text1"/>
          <w:sz w:val="22"/>
          <w:szCs w:val="22"/>
        </w:rPr>
        <w:t>För hotell är beläggningsgraden (kapacitetsutnyttjande hotellrum) ett vedertaget mått på hur väl utbudet tillgodoser efterfrågan. En genomsnittlig årlig beläggningsgrad på över 70% på destinationsnivå har historiskt antytt att det under perioder råder kapacitetsbrist, dvs. att det inte finns tillräckligt antal lediga hotellbäddar i staden för att möta efterfrågan. En destination bör därför sträva efter att ha en genomsnittlig årlig beläggningsgrad strax under 70% för att på helårsnivå ha en god balans mellan utbud och efterfrågan på hotell.</w:t>
      </w:r>
      <w:r w:rsidR="2BC8C63B" w:rsidRPr="4E746557">
        <w:rPr>
          <w:rStyle w:val="normaltextrun"/>
          <w:color w:val="000000" w:themeColor="text1"/>
          <w:sz w:val="22"/>
          <w:szCs w:val="22"/>
        </w:rPr>
        <w:t xml:space="preserve"> Nivån om 70% kan komma att behöva justeras i </w:t>
      </w:r>
      <w:r w:rsidR="68C34F87" w:rsidRPr="4E746557">
        <w:rPr>
          <w:rStyle w:val="normaltextrun"/>
          <w:color w:val="000000" w:themeColor="text1"/>
          <w:sz w:val="22"/>
          <w:szCs w:val="22"/>
        </w:rPr>
        <w:t>framtiden</w:t>
      </w:r>
      <w:r w:rsidR="2BC8C63B" w:rsidRPr="4E746557">
        <w:rPr>
          <w:rStyle w:val="normaltextrun"/>
          <w:color w:val="000000" w:themeColor="text1"/>
          <w:sz w:val="22"/>
          <w:szCs w:val="22"/>
        </w:rPr>
        <w:t xml:space="preserve"> för att möta eventuella förändrade resmönster</w:t>
      </w:r>
      <w:r w:rsidR="555AA6E7" w:rsidRPr="4E746557">
        <w:rPr>
          <w:rStyle w:val="normaltextrun"/>
          <w:color w:val="000000" w:themeColor="text1"/>
          <w:sz w:val="22"/>
          <w:szCs w:val="22"/>
        </w:rPr>
        <w:t>, t.ex. om nedgången i affärsresandet skulle visa sig vara bestående</w:t>
      </w:r>
      <w:r w:rsidR="2BC8C63B" w:rsidRPr="4E746557">
        <w:rPr>
          <w:rStyle w:val="normaltextrun"/>
          <w:color w:val="000000" w:themeColor="text1"/>
          <w:sz w:val="22"/>
          <w:szCs w:val="22"/>
        </w:rPr>
        <w:t>.</w:t>
      </w:r>
    </w:p>
    <w:p w14:paraId="506E3C6F" w14:textId="0CA5F642" w:rsidR="4075A125" w:rsidRDefault="0F693952" w:rsidP="00484A33">
      <w:pPr>
        <w:spacing w:beforeAutospacing="1" w:afterAutospacing="1" w:line="276" w:lineRule="auto"/>
        <w:rPr>
          <w:rFonts w:ascii="Times New Roman" w:eastAsia="Times New Roman" w:hAnsi="Times New Roman" w:cs="Times New Roman"/>
          <w:color w:val="FF0000"/>
        </w:rPr>
      </w:pPr>
      <w:r w:rsidRPr="4E746557">
        <w:rPr>
          <w:rStyle w:val="normaltextrun"/>
          <w:rFonts w:ascii="Times New Roman" w:eastAsia="Times New Roman" w:hAnsi="Times New Roman" w:cs="Times New Roman"/>
          <w:color w:val="000000" w:themeColor="text1"/>
        </w:rPr>
        <w:t>En boendeform som blivit mer populär på senare år är privatuthyrda stugor och lägenheter, som förmedlas via digitala plattformar. Eurost</w:t>
      </w:r>
      <w:r w:rsidR="0C05B1B0" w:rsidRPr="4E746557">
        <w:rPr>
          <w:rStyle w:val="normaltextrun"/>
          <w:rFonts w:ascii="Times New Roman" w:eastAsia="Times New Roman" w:hAnsi="Times New Roman" w:cs="Times New Roman"/>
          <w:color w:val="000000" w:themeColor="text1"/>
        </w:rPr>
        <w:t>at har börjat sammanställa statistik över de</w:t>
      </w:r>
      <w:r w:rsidR="6447A2F0" w:rsidRPr="4E746557">
        <w:rPr>
          <w:rStyle w:val="normaltextrun"/>
          <w:rFonts w:ascii="Times New Roman" w:eastAsia="Times New Roman" w:hAnsi="Times New Roman" w:cs="Times New Roman"/>
          <w:color w:val="000000" w:themeColor="text1"/>
        </w:rPr>
        <w:t>nna typ av</w:t>
      </w:r>
      <w:r w:rsidR="0C05B1B0" w:rsidRPr="4E746557">
        <w:rPr>
          <w:rStyle w:val="normaltextrun"/>
          <w:rFonts w:ascii="Times New Roman" w:eastAsia="Times New Roman" w:hAnsi="Times New Roman" w:cs="Times New Roman"/>
          <w:color w:val="000000" w:themeColor="text1"/>
        </w:rPr>
        <w:t xml:space="preserve"> övernattningar</w:t>
      </w:r>
      <w:r w:rsidR="36E7702E" w:rsidRPr="4E746557">
        <w:rPr>
          <w:rStyle w:val="normaltextrun"/>
          <w:rFonts w:ascii="Times New Roman" w:eastAsia="Times New Roman" w:hAnsi="Times New Roman" w:cs="Times New Roman"/>
          <w:color w:val="000000" w:themeColor="text1"/>
        </w:rPr>
        <w:t xml:space="preserve">, primärt baserat på data från </w:t>
      </w:r>
      <w:r w:rsidR="0C05B1B0" w:rsidRPr="4E746557">
        <w:rPr>
          <w:rStyle w:val="normaltextrun"/>
          <w:rFonts w:ascii="Times New Roman" w:eastAsia="Times New Roman" w:hAnsi="Times New Roman" w:cs="Times New Roman"/>
          <w:color w:val="000000" w:themeColor="text1"/>
        </w:rPr>
        <w:t xml:space="preserve">plattformarna </w:t>
      </w:r>
      <w:r w:rsidR="3A0F7A4D" w:rsidRPr="4E746557">
        <w:rPr>
          <w:rStyle w:val="normaltextrun"/>
          <w:rFonts w:ascii="Times New Roman" w:eastAsia="Times New Roman" w:hAnsi="Times New Roman" w:cs="Times New Roman"/>
          <w:color w:val="000000" w:themeColor="text1"/>
        </w:rPr>
        <w:t xml:space="preserve">Airbnb, Booking.com, Tripadvisor och Expedia Group. I nuläget klassas denna </w:t>
      </w:r>
      <w:r w:rsidR="0825097F" w:rsidRPr="4E746557">
        <w:rPr>
          <w:rStyle w:val="normaltextrun"/>
          <w:rFonts w:ascii="Times New Roman" w:eastAsia="Times New Roman" w:hAnsi="Times New Roman" w:cs="Times New Roman"/>
          <w:color w:val="000000" w:themeColor="text1"/>
        </w:rPr>
        <w:t xml:space="preserve">källa som experimentell, varför det kan komma att ske förändringar i hur statistiken presenteras. </w:t>
      </w:r>
      <w:r w:rsidR="5694DCB3" w:rsidRPr="4E746557">
        <w:rPr>
          <w:rStyle w:val="normaltextrun"/>
          <w:rFonts w:ascii="Times New Roman" w:eastAsia="Times New Roman" w:hAnsi="Times New Roman" w:cs="Times New Roman"/>
          <w:color w:val="000000" w:themeColor="text1"/>
        </w:rPr>
        <w:t>Eurostat</w:t>
      </w:r>
      <w:r w:rsidR="45ED6701" w:rsidRPr="4E746557">
        <w:rPr>
          <w:rStyle w:val="normaltextrun"/>
          <w:rFonts w:ascii="Times New Roman" w:eastAsia="Times New Roman" w:hAnsi="Times New Roman" w:cs="Times New Roman"/>
          <w:color w:val="000000" w:themeColor="text1"/>
        </w:rPr>
        <w:t xml:space="preserve"> </w:t>
      </w:r>
      <w:r w:rsidR="5694DCB3" w:rsidRPr="4E746557">
        <w:rPr>
          <w:rStyle w:val="normaltextrun"/>
          <w:rFonts w:ascii="Times New Roman" w:eastAsia="Times New Roman" w:hAnsi="Times New Roman" w:cs="Times New Roman"/>
          <w:color w:val="000000" w:themeColor="text1"/>
        </w:rPr>
        <w:t xml:space="preserve">definierar storstadsområdet Göteborg som kommunerna Göteborg och Partille. Det är med andra ord övernattningar i dessa två kommuner som ingår i </w:t>
      </w:r>
      <w:r w:rsidR="67542B60" w:rsidRPr="4E746557">
        <w:rPr>
          <w:rStyle w:val="normaltextrun"/>
          <w:rFonts w:ascii="Times New Roman" w:eastAsia="Times New Roman" w:hAnsi="Times New Roman" w:cs="Times New Roman"/>
          <w:color w:val="000000" w:themeColor="text1"/>
        </w:rPr>
        <w:t>Eurostats sammanställning av statistiken</w:t>
      </w:r>
      <w:r w:rsidR="0D17C317" w:rsidRPr="4E746557">
        <w:rPr>
          <w:rStyle w:val="normaltextrun"/>
          <w:rFonts w:ascii="Times New Roman" w:eastAsia="Times New Roman" w:hAnsi="Times New Roman" w:cs="Times New Roman"/>
          <w:color w:val="000000" w:themeColor="text1"/>
        </w:rPr>
        <w:t xml:space="preserve"> och den indikator som presenteras.</w:t>
      </w:r>
      <w:r w:rsidR="67542B60" w:rsidRPr="4E746557">
        <w:rPr>
          <w:rStyle w:val="normaltextrun"/>
          <w:rFonts w:ascii="Times New Roman" w:eastAsia="Times New Roman" w:hAnsi="Times New Roman" w:cs="Times New Roman"/>
          <w:color w:val="000000" w:themeColor="text1"/>
        </w:rPr>
        <w:t xml:space="preserve"> </w:t>
      </w:r>
    </w:p>
    <w:p w14:paraId="2250D417" w14:textId="63DC7CF5" w:rsidR="5EF79760" w:rsidRPr="00364CE3" w:rsidRDefault="2BC8C63B" w:rsidP="00484A33">
      <w:pPr>
        <w:spacing w:beforeAutospacing="1" w:afterAutospacing="1" w:line="276" w:lineRule="auto"/>
        <w:rPr>
          <w:rStyle w:val="normaltextrun"/>
          <w:rFonts w:ascii="Times New Roman" w:eastAsia="Times New Roman" w:hAnsi="Times New Roman" w:cs="Times New Roman"/>
          <w:color w:val="000000" w:themeColor="text1"/>
        </w:rPr>
      </w:pPr>
      <w:r w:rsidRPr="00364CE3">
        <w:rPr>
          <w:rStyle w:val="normaltextrun"/>
          <w:rFonts w:ascii="Times New Roman" w:eastAsia="Times New Roman" w:hAnsi="Times New Roman" w:cs="Times New Roman"/>
          <w:color w:val="000000" w:themeColor="text1"/>
        </w:rPr>
        <w:t xml:space="preserve">I </w:t>
      </w:r>
      <w:r w:rsidR="00364CE3">
        <w:rPr>
          <w:rStyle w:val="normaltextrun"/>
          <w:rFonts w:ascii="Times New Roman" w:eastAsia="Times New Roman" w:hAnsi="Times New Roman" w:cs="Times New Roman"/>
          <w:color w:val="000000" w:themeColor="text1"/>
        </w:rPr>
        <w:t>b</w:t>
      </w:r>
      <w:r w:rsidRPr="00364CE3">
        <w:rPr>
          <w:rStyle w:val="normaltextrun"/>
          <w:rFonts w:ascii="Times New Roman" w:eastAsia="Times New Roman" w:hAnsi="Times New Roman" w:cs="Times New Roman"/>
          <w:color w:val="000000" w:themeColor="text1"/>
        </w:rPr>
        <w:t>esöksnäringsprogrammet har följan</w:t>
      </w:r>
      <w:r w:rsidRPr="00364CE3">
        <w:rPr>
          <w:rStyle w:val="normaltextrun"/>
          <w:rFonts w:ascii="Times New Roman" w:eastAsia="Times New Roman" w:hAnsi="Times New Roman" w:cs="Times New Roman"/>
        </w:rPr>
        <w:t>de f</w:t>
      </w:r>
      <w:r w:rsidR="52AD90B6" w:rsidRPr="00364CE3">
        <w:rPr>
          <w:rStyle w:val="normaltextrun"/>
          <w:rFonts w:ascii="Times New Roman" w:eastAsia="Times New Roman" w:hAnsi="Times New Roman" w:cs="Times New Roman"/>
        </w:rPr>
        <w:t xml:space="preserve">em </w:t>
      </w:r>
      <w:r w:rsidRPr="00364CE3">
        <w:rPr>
          <w:rStyle w:val="normaltextrun"/>
          <w:rFonts w:ascii="Times New Roman" w:eastAsia="Times New Roman" w:hAnsi="Times New Roman" w:cs="Times New Roman"/>
        </w:rPr>
        <w:t>in</w:t>
      </w:r>
      <w:r w:rsidRPr="00364CE3">
        <w:rPr>
          <w:rStyle w:val="normaltextrun"/>
          <w:rFonts w:ascii="Times New Roman" w:eastAsia="Times New Roman" w:hAnsi="Times New Roman" w:cs="Times New Roman"/>
          <w:color w:val="000000" w:themeColor="text1"/>
        </w:rPr>
        <w:t>dikatorer valts för uppföljning av detta mål:</w:t>
      </w:r>
    </w:p>
    <w:p w14:paraId="53AF9E87" w14:textId="3CD8802E" w:rsidR="5EF79760" w:rsidRPr="00364CE3" w:rsidRDefault="4CBCD066" w:rsidP="00484A33">
      <w:pPr>
        <w:pStyle w:val="Liststycke"/>
        <w:numPr>
          <w:ilvl w:val="0"/>
          <w:numId w:val="10"/>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Antal gästnätter på kommersiella boendeanläggningar</w:t>
      </w:r>
      <w:r w:rsidR="7313D962" w:rsidRPr="00364CE3">
        <w:rPr>
          <w:rStyle w:val="normaltextrun"/>
          <w:rFonts w:ascii="Times New Roman" w:eastAsia="Times New Roman" w:hAnsi="Times New Roman" w:cs="Times New Roman"/>
          <w:color w:val="000000" w:themeColor="text1"/>
        </w:rPr>
        <w:t xml:space="preserve"> (Källa: SCB Inkvarteringsstatistik)</w:t>
      </w:r>
    </w:p>
    <w:p w14:paraId="6E03362C" w14:textId="37A30AF2" w:rsidR="5EF79760" w:rsidRPr="00364CE3" w:rsidRDefault="567D9351" w:rsidP="00484A33">
      <w:pPr>
        <w:pStyle w:val="Liststycke"/>
        <w:numPr>
          <w:ilvl w:val="0"/>
          <w:numId w:val="10"/>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Genomsnittlig b</w:t>
      </w:r>
      <w:r w:rsidR="2BC8C63B" w:rsidRPr="00364CE3">
        <w:rPr>
          <w:rStyle w:val="normaltextrun"/>
          <w:rFonts w:ascii="Times New Roman" w:eastAsia="Times New Roman" w:hAnsi="Times New Roman" w:cs="Times New Roman"/>
          <w:color w:val="000000" w:themeColor="text1"/>
        </w:rPr>
        <w:t xml:space="preserve">eläggningsgrad på hotell </w:t>
      </w:r>
      <w:r w:rsidR="23B4CEE9" w:rsidRPr="00364CE3">
        <w:rPr>
          <w:rStyle w:val="normaltextrun"/>
          <w:rFonts w:ascii="Times New Roman" w:eastAsia="Times New Roman" w:hAnsi="Times New Roman" w:cs="Times New Roman"/>
          <w:color w:val="000000" w:themeColor="text1"/>
        </w:rPr>
        <w:t>i Göteborgs stad (Källa: SCB Inkvarteringsstatistik)</w:t>
      </w:r>
    </w:p>
    <w:p w14:paraId="2BF7CA19" w14:textId="0FDBE8EB" w:rsidR="53E574B1" w:rsidRPr="00364CE3" w:rsidRDefault="6CD2F348" w:rsidP="00484A33">
      <w:pPr>
        <w:pStyle w:val="Liststycke"/>
        <w:numPr>
          <w:ilvl w:val="0"/>
          <w:numId w:val="10"/>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Antal ö</w:t>
      </w:r>
      <w:r w:rsidR="23B4CEE9" w:rsidRPr="00364CE3">
        <w:rPr>
          <w:rStyle w:val="normaltextrun"/>
          <w:rFonts w:ascii="Times New Roman" w:eastAsia="Times New Roman" w:hAnsi="Times New Roman" w:cs="Times New Roman"/>
          <w:color w:val="000000" w:themeColor="text1"/>
        </w:rPr>
        <w:t xml:space="preserve">vernattningar genomförda i privatuthyrda stugor och lägenheter via förmedlingssajter (Källa: Eurostat) </w:t>
      </w:r>
    </w:p>
    <w:p w14:paraId="3113ED66" w14:textId="523073DD" w:rsidR="53E574B1" w:rsidRPr="00364CE3" w:rsidRDefault="308A7AC7" w:rsidP="00484A33">
      <w:pPr>
        <w:pStyle w:val="Liststycke"/>
        <w:numPr>
          <w:ilvl w:val="0"/>
          <w:numId w:val="10"/>
        </w:numPr>
        <w:spacing w:beforeAutospacing="1" w:afterAutospacing="1" w:line="276" w:lineRule="auto"/>
        <w:rPr>
          <w:rStyle w:val="normaltextrun"/>
          <w:color w:val="000000" w:themeColor="text1"/>
        </w:rPr>
      </w:pPr>
      <w:r w:rsidRPr="00364CE3">
        <w:rPr>
          <w:rStyle w:val="normaltextrun"/>
          <w:rFonts w:ascii="Times New Roman" w:eastAsia="Times New Roman" w:hAnsi="Times New Roman" w:cs="Times New Roman"/>
          <w:color w:val="000000" w:themeColor="text1"/>
        </w:rPr>
        <w:t>Antal ö</w:t>
      </w:r>
      <w:r w:rsidR="23B4CEE9" w:rsidRPr="00364CE3">
        <w:rPr>
          <w:rStyle w:val="normaltextrun"/>
          <w:rFonts w:ascii="Times New Roman" w:eastAsia="Times New Roman" w:hAnsi="Times New Roman" w:cs="Times New Roman"/>
          <w:color w:val="000000" w:themeColor="text1"/>
        </w:rPr>
        <w:t>vernattningar på campingplatser (Källa: SCB Campingstatistik)</w:t>
      </w:r>
    </w:p>
    <w:p w14:paraId="5695F30C" w14:textId="7D5628DB" w:rsidR="5EF79760" w:rsidRPr="00364CE3" w:rsidRDefault="40D3C9DE" w:rsidP="00484A33">
      <w:pPr>
        <w:pStyle w:val="Liststycke"/>
        <w:numPr>
          <w:ilvl w:val="0"/>
          <w:numId w:val="10"/>
        </w:numPr>
        <w:spacing w:beforeAutospacing="1" w:afterAutospacing="1" w:line="276" w:lineRule="auto"/>
        <w:rPr>
          <w:rStyle w:val="normaltextrun"/>
          <w:rFonts w:eastAsiaTheme="minorEastAsia"/>
          <w:color w:val="000000" w:themeColor="text1"/>
        </w:rPr>
      </w:pPr>
      <w:r w:rsidRPr="00364CE3">
        <w:rPr>
          <w:rStyle w:val="normaltextrun"/>
          <w:rFonts w:ascii="Times New Roman" w:eastAsia="Times New Roman" w:hAnsi="Times New Roman" w:cs="Times New Roman"/>
          <w:color w:val="000000" w:themeColor="text1"/>
        </w:rPr>
        <w:t>A</w:t>
      </w:r>
      <w:r w:rsidR="2BC8C63B" w:rsidRPr="00364CE3">
        <w:rPr>
          <w:rStyle w:val="normaltextrun"/>
          <w:rFonts w:ascii="Times New Roman" w:eastAsia="Times New Roman" w:hAnsi="Times New Roman" w:cs="Times New Roman"/>
          <w:color w:val="000000" w:themeColor="text1"/>
        </w:rPr>
        <w:t>ntal företag</w:t>
      </w:r>
      <w:r w:rsidR="7F6736E3" w:rsidRPr="00364CE3">
        <w:rPr>
          <w:rStyle w:val="normaltextrun"/>
          <w:rFonts w:ascii="Times New Roman" w:eastAsia="Times New Roman" w:hAnsi="Times New Roman" w:cs="Times New Roman"/>
          <w:color w:val="000000" w:themeColor="text1"/>
        </w:rPr>
        <w:t xml:space="preserve"> (arbetsställen) verksamma i besöksnäringsintensiva branscher</w:t>
      </w:r>
      <w:r w:rsidR="2BC8C63B" w:rsidRPr="00364CE3">
        <w:rPr>
          <w:rStyle w:val="normaltextrun"/>
          <w:rFonts w:ascii="Times New Roman" w:eastAsia="Times New Roman" w:hAnsi="Times New Roman" w:cs="Times New Roman"/>
          <w:color w:val="000000" w:themeColor="text1"/>
        </w:rPr>
        <w:t xml:space="preserve"> </w:t>
      </w:r>
      <w:r w:rsidR="2632BCAE" w:rsidRPr="00364CE3">
        <w:rPr>
          <w:rStyle w:val="normaltextrun"/>
          <w:rFonts w:ascii="Times New Roman" w:eastAsia="Times New Roman" w:hAnsi="Times New Roman" w:cs="Times New Roman"/>
          <w:color w:val="000000" w:themeColor="text1"/>
        </w:rPr>
        <w:t>(Källa: Business Region Göteborg)</w:t>
      </w:r>
    </w:p>
    <w:p w14:paraId="4CA069B1" w14:textId="77777777" w:rsidR="00364CE3" w:rsidRPr="00364CE3" w:rsidRDefault="00364CE3" w:rsidP="00364CE3">
      <w:pPr>
        <w:pStyle w:val="Liststycke"/>
        <w:spacing w:beforeAutospacing="1" w:afterAutospacing="1" w:line="276" w:lineRule="auto"/>
        <w:rPr>
          <w:rStyle w:val="normaltextrun"/>
          <w:rFonts w:ascii="Times New Roman" w:eastAsia="Times New Roman" w:hAnsi="Times New Roman" w:cs="Times New Roman"/>
          <w:b/>
          <w:bCs/>
          <w:color w:val="000000" w:themeColor="text1"/>
        </w:rPr>
      </w:pPr>
    </w:p>
    <w:p w14:paraId="5F907200" w14:textId="55E4FBE5" w:rsidR="5EF79760" w:rsidRDefault="2BC8C63B" w:rsidP="00484A33">
      <w:pPr>
        <w:pStyle w:val="Liststycke"/>
        <w:numPr>
          <w:ilvl w:val="0"/>
          <w:numId w:val="8"/>
        </w:numPr>
        <w:spacing w:beforeAutospacing="1" w:afterAutospacing="1" w:line="276" w:lineRule="auto"/>
        <w:rPr>
          <w:rFonts w:ascii="Times New Roman" w:eastAsia="Times New Roman" w:hAnsi="Times New Roman" w:cs="Times New Roman"/>
          <w:b/>
          <w:bCs/>
          <w:color w:val="000000" w:themeColor="text1"/>
        </w:rPr>
      </w:pPr>
      <w:r w:rsidRPr="4E746557">
        <w:rPr>
          <w:rStyle w:val="normaltextrun"/>
          <w:rFonts w:ascii="Times New Roman" w:eastAsia="Times New Roman" w:hAnsi="Times New Roman" w:cs="Times New Roman"/>
          <w:b/>
          <w:bCs/>
          <w:color w:val="000000" w:themeColor="text1"/>
          <w:sz w:val="24"/>
          <w:szCs w:val="24"/>
        </w:rPr>
        <w:lastRenderedPageBreak/>
        <w:t xml:space="preserve">Besöksnäringen stärker övrigt näringsliv och akademi på destinationen </w:t>
      </w:r>
      <w:r w:rsidRPr="4E746557">
        <w:rPr>
          <w:rStyle w:val="normaltextrun"/>
          <w:rFonts w:ascii="Times New Roman" w:eastAsia="Times New Roman" w:hAnsi="Times New Roman" w:cs="Times New Roman"/>
          <w:b/>
          <w:bCs/>
          <w:color w:val="000000" w:themeColor="text1"/>
        </w:rPr>
        <w:t xml:space="preserve"> </w:t>
      </w:r>
    </w:p>
    <w:p w14:paraId="10C2CA44" w14:textId="1379BF34" w:rsidR="5EF79760" w:rsidRDefault="2BC8C63B" w:rsidP="00364CE3">
      <w:pPr>
        <w:spacing w:after="0"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 xml:space="preserve">En levande stad med en besöksnäring i </w:t>
      </w:r>
      <w:r w:rsidRPr="4E746557">
        <w:rPr>
          <w:rStyle w:val="normaltextrun"/>
          <w:rFonts w:ascii="Times New Roman" w:eastAsia="Times New Roman" w:hAnsi="Times New Roman" w:cs="Times New Roman"/>
        </w:rPr>
        <w:t xml:space="preserve">ständig </w:t>
      </w:r>
      <w:r w:rsidRPr="4E746557">
        <w:rPr>
          <w:rStyle w:val="normaltextrun"/>
          <w:rFonts w:ascii="Times New Roman" w:eastAsia="Times New Roman" w:hAnsi="Times New Roman" w:cs="Times New Roman"/>
          <w:color w:val="000000" w:themeColor="text1"/>
        </w:rPr>
        <w:t xml:space="preserve">utveckling som samverkar med näringsliv och akademi bidrar till att stärka hela regionens attraktionskraft. </w:t>
      </w:r>
      <w:r w:rsidR="3AD0CBD1" w:rsidRPr="4E746557">
        <w:rPr>
          <w:rStyle w:val="normaltextrun"/>
          <w:rFonts w:ascii="Times New Roman" w:eastAsia="Times New Roman" w:hAnsi="Times New Roman" w:cs="Times New Roman"/>
          <w:color w:val="000000" w:themeColor="text1"/>
        </w:rPr>
        <w:t xml:space="preserve">Internationella forskningskonferenser är ett verktyg för att tillvarata och profilera styrkeområden och bygga en destinations varumärke samt i förlängningen attrahera nya invånare. </w:t>
      </w:r>
      <w:r w:rsidR="3EAA9C11" w:rsidRPr="4E746557">
        <w:rPr>
          <w:rStyle w:val="normaltextrun"/>
          <w:rFonts w:ascii="Times New Roman" w:eastAsia="Times New Roman" w:hAnsi="Times New Roman" w:cs="Times New Roman"/>
          <w:color w:val="000000" w:themeColor="text1"/>
        </w:rPr>
        <w:t>Genom att bidra till att stärka destinationens attraktionskraft spelar besöksnäringen en viktig roll för att skapa förutsättningar att locka talang, arbetskraft, forskning och investeringar till regionen.</w:t>
      </w:r>
      <w:r w:rsidR="7CA22507" w:rsidRPr="4E746557">
        <w:rPr>
          <w:rStyle w:val="normaltextrun"/>
          <w:rFonts w:ascii="Times New Roman" w:eastAsia="Times New Roman" w:hAnsi="Times New Roman" w:cs="Times New Roman"/>
          <w:color w:val="000000" w:themeColor="text1"/>
        </w:rPr>
        <w:t xml:space="preserve"> </w:t>
      </w:r>
      <w:r w:rsidR="56A40B9D" w:rsidRPr="4E746557">
        <w:rPr>
          <w:rStyle w:val="normaltextrun"/>
          <w:rFonts w:ascii="Times New Roman" w:eastAsia="Times New Roman" w:hAnsi="Times New Roman" w:cs="Times New Roman"/>
          <w:color w:val="000000" w:themeColor="text1"/>
        </w:rPr>
        <w:t>Besöksnäringen bidrar också till näringsliv och akademi på destinationen genom ett brett utbud av hotell- och konferensmöjligheter, restaurang- och nöjesutbud.</w:t>
      </w:r>
    </w:p>
    <w:p w14:paraId="40A8F9F1" w14:textId="77777777" w:rsidR="00364CE3" w:rsidRDefault="00364CE3" w:rsidP="00364CE3">
      <w:pPr>
        <w:spacing w:after="0" w:line="276" w:lineRule="auto"/>
        <w:rPr>
          <w:rStyle w:val="normaltextrun"/>
          <w:rFonts w:ascii="Times New Roman" w:eastAsia="Times New Roman" w:hAnsi="Times New Roman" w:cs="Times New Roman"/>
          <w:color w:val="000000" w:themeColor="text1"/>
        </w:rPr>
      </w:pPr>
    </w:p>
    <w:p w14:paraId="618AB822" w14:textId="77777777" w:rsidR="00364CE3" w:rsidRDefault="512802C9" w:rsidP="00364CE3">
      <w:pPr>
        <w:spacing w:after="0"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 xml:space="preserve">På många destinationer i Europa skiftas fokus mot ett mer strategiskt och kvalitativt förhållningssätt till möten och konferenser där man fokuserar på att visa upp och stärka städernas unika kompetenser inom särskilda områden. </w:t>
      </w:r>
      <w:r w:rsidR="4CBC34C0" w:rsidRPr="4E746557">
        <w:rPr>
          <w:rStyle w:val="normaltextrun"/>
          <w:rFonts w:ascii="Times New Roman" w:eastAsia="Times New Roman" w:hAnsi="Times New Roman" w:cs="Times New Roman"/>
          <w:color w:val="000000" w:themeColor="text1"/>
        </w:rPr>
        <w:t>Gränsöverskridande samarbeten mellan besöksnäring, offentlig verksamhet, näringsliv och akademi ger goda möjligheter att främja utvecklingen av Göteborg som en hållbar destination. Strategisk och strukturerad samverkan dem emellan skapar också ytterligare möjligheter till varaktiga positiva samhällseffekter, vilket blir allt viktigare som konkurrensmedel</w:t>
      </w:r>
      <w:r w:rsidR="13FC3F10" w:rsidRPr="4E746557">
        <w:rPr>
          <w:rStyle w:val="normaltextrun"/>
          <w:rFonts w:ascii="Times New Roman" w:eastAsia="Times New Roman" w:hAnsi="Times New Roman" w:cs="Times New Roman"/>
          <w:color w:val="000000" w:themeColor="text1"/>
        </w:rPr>
        <w:t xml:space="preserve"> </w:t>
      </w:r>
      <w:r w:rsidR="2BC8C63B" w:rsidRPr="4E746557">
        <w:rPr>
          <w:rStyle w:val="normaltextrun"/>
          <w:rFonts w:ascii="Times New Roman" w:eastAsia="Times New Roman" w:hAnsi="Times New Roman" w:cs="Times New Roman"/>
          <w:color w:val="000000" w:themeColor="text1"/>
        </w:rPr>
        <w:t xml:space="preserve">vid t.ex. värvning av möten och kongresser. </w:t>
      </w:r>
    </w:p>
    <w:p w14:paraId="31BD7045" w14:textId="3DA7984E" w:rsidR="29FDC225" w:rsidRDefault="29FDC225" w:rsidP="00364CE3">
      <w:pPr>
        <w:spacing w:after="0" w:line="276" w:lineRule="auto"/>
        <w:rPr>
          <w:rFonts w:ascii="Times New Roman" w:eastAsia="Times New Roman" w:hAnsi="Times New Roman" w:cs="Times New Roman"/>
          <w:color w:val="000000" w:themeColor="text1"/>
        </w:rPr>
      </w:pPr>
      <w:r>
        <w:br/>
      </w:r>
      <w:r w:rsidR="2BC8C63B" w:rsidRPr="4E746557">
        <w:rPr>
          <w:rStyle w:val="normaltextrun"/>
          <w:rFonts w:ascii="Times New Roman" w:eastAsia="Times New Roman" w:hAnsi="Times New Roman" w:cs="Times New Roman"/>
          <w:color w:val="000000" w:themeColor="text1"/>
        </w:rPr>
        <w:t xml:space="preserve">Göteborgsregionen är en av Europas mest snabbväxande regioner och befinner sig i en utvecklingsfas som innebär stora investeringar i form av forskning och utveckling. Här kan besöksnäringen fungera som ett verktyg där internationella möten, konferenser och evenemang kan stärka Göteborgs varumärke som en destination där kunskap värdesätts samtidigt som destinationen ytterligare etableras som en mötesplats och kunskapshubb för akademi och näringsliv. På en hållbar destination används också besöksnäringen som en kommunikativ plattform för att uppnå strategiska mål och för att i samverkan med näringsliv, offentlig sektor och akademin lyfta destinationens styrkor och fokusområden. </w:t>
      </w:r>
    </w:p>
    <w:p w14:paraId="7C88A6E0" w14:textId="05B50F79" w:rsidR="5EF79760" w:rsidRPr="00364CE3" w:rsidRDefault="2BC8C63B" w:rsidP="00484A33">
      <w:pPr>
        <w:spacing w:beforeAutospacing="1" w:afterAutospacing="1" w:line="276" w:lineRule="auto"/>
        <w:rPr>
          <w:rFonts w:ascii="Times New Roman" w:eastAsia="Times New Roman" w:hAnsi="Times New Roman" w:cs="Times New Roman"/>
          <w:color w:val="000000" w:themeColor="text1"/>
        </w:rPr>
      </w:pPr>
      <w:r w:rsidRPr="00364CE3">
        <w:rPr>
          <w:rStyle w:val="normaltextrun"/>
          <w:rFonts w:ascii="Times New Roman" w:eastAsia="Times New Roman" w:hAnsi="Times New Roman" w:cs="Times New Roman"/>
          <w:color w:val="000000" w:themeColor="text1"/>
        </w:rPr>
        <w:t xml:space="preserve">I </w:t>
      </w:r>
      <w:r w:rsidR="00364CE3">
        <w:rPr>
          <w:rStyle w:val="normaltextrun"/>
          <w:rFonts w:ascii="Times New Roman" w:eastAsia="Times New Roman" w:hAnsi="Times New Roman" w:cs="Times New Roman"/>
          <w:color w:val="000000" w:themeColor="text1"/>
        </w:rPr>
        <w:t>b</w:t>
      </w:r>
      <w:r w:rsidRPr="00364CE3">
        <w:rPr>
          <w:rStyle w:val="normaltextrun"/>
          <w:rFonts w:ascii="Times New Roman" w:eastAsia="Times New Roman" w:hAnsi="Times New Roman" w:cs="Times New Roman"/>
          <w:color w:val="000000" w:themeColor="text1"/>
        </w:rPr>
        <w:t xml:space="preserve">esöksnäringsprogrammet har följande </w:t>
      </w:r>
      <w:r w:rsidRPr="00364CE3">
        <w:rPr>
          <w:rStyle w:val="normaltextrun"/>
          <w:rFonts w:ascii="Times New Roman" w:eastAsia="Times New Roman" w:hAnsi="Times New Roman" w:cs="Times New Roman"/>
        </w:rPr>
        <w:t xml:space="preserve">indikator </w:t>
      </w:r>
      <w:r w:rsidRPr="00364CE3">
        <w:rPr>
          <w:rStyle w:val="normaltextrun"/>
          <w:rFonts w:ascii="Times New Roman" w:eastAsia="Times New Roman" w:hAnsi="Times New Roman" w:cs="Times New Roman"/>
          <w:color w:val="000000" w:themeColor="text1"/>
        </w:rPr>
        <w:t>valts för uppföljning av detta mål:</w:t>
      </w:r>
    </w:p>
    <w:p w14:paraId="68888D6F" w14:textId="588A5C40" w:rsidR="4075A125" w:rsidRPr="00364CE3" w:rsidRDefault="2BC8C63B" w:rsidP="00484A33">
      <w:pPr>
        <w:pStyle w:val="Liststycke"/>
        <w:numPr>
          <w:ilvl w:val="0"/>
          <w:numId w:val="10"/>
        </w:numPr>
        <w:spacing w:beforeAutospacing="1" w:afterAutospacing="1" w:line="276" w:lineRule="auto"/>
        <w:rPr>
          <w:rFonts w:ascii="Times New Roman" w:eastAsia="Times New Roman" w:hAnsi="Times New Roman" w:cs="Times New Roman"/>
          <w:color w:val="000000" w:themeColor="text1"/>
        </w:rPr>
      </w:pPr>
      <w:r w:rsidRPr="00364CE3">
        <w:rPr>
          <w:rStyle w:val="normaltextrun"/>
          <w:rFonts w:ascii="Times New Roman" w:eastAsia="Times New Roman" w:hAnsi="Times New Roman" w:cs="Times New Roman"/>
          <w:color w:val="000000" w:themeColor="text1"/>
        </w:rPr>
        <w:t>Näringslivet och akademin</w:t>
      </w:r>
      <w:r w:rsidR="57E772A4" w:rsidRPr="00364CE3">
        <w:rPr>
          <w:rStyle w:val="normaltextrun"/>
          <w:rFonts w:ascii="Times New Roman" w:eastAsia="Times New Roman" w:hAnsi="Times New Roman" w:cs="Times New Roman"/>
          <w:color w:val="000000" w:themeColor="text1"/>
        </w:rPr>
        <w:t>s upplevelse av besöksnäringens förmåga att stärka regionens attraktionskraft</w:t>
      </w:r>
      <w:r w:rsidR="57E772A4" w:rsidRPr="00364CE3">
        <w:rPr>
          <w:rStyle w:val="normaltextrun"/>
          <w:rFonts w:ascii="Times New Roman" w:eastAsia="Times New Roman" w:hAnsi="Times New Roman" w:cs="Times New Roman"/>
        </w:rPr>
        <w:t xml:space="preserve"> (Källa: mätmetoder under framtagande) </w:t>
      </w:r>
    </w:p>
    <w:p w14:paraId="713B108A" w14:textId="095E6335" w:rsidR="5EF79760" w:rsidRDefault="2BC8C63B" w:rsidP="00484A33">
      <w:pPr>
        <w:pStyle w:val="paragraph"/>
        <w:numPr>
          <w:ilvl w:val="0"/>
          <w:numId w:val="8"/>
        </w:numPr>
        <w:spacing w:line="276" w:lineRule="auto"/>
        <w:rPr>
          <w:b/>
          <w:bCs/>
          <w:color w:val="000000" w:themeColor="text1"/>
        </w:rPr>
      </w:pPr>
      <w:r w:rsidRPr="4E746557">
        <w:rPr>
          <w:b/>
          <w:bCs/>
          <w:color w:val="000000" w:themeColor="text1"/>
        </w:rPr>
        <w:t xml:space="preserve">Hållbarhetsarbete i världsklass </w:t>
      </w:r>
    </w:p>
    <w:p w14:paraId="60853624" w14:textId="102BC77F" w:rsidR="5EF79760" w:rsidRDefault="2BC8C63B" w:rsidP="00484A33">
      <w:pPr>
        <w:spacing w:beforeAutospacing="1" w:afterAutospacing="1" w:line="276" w:lineRule="auto"/>
        <w:rPr>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t xml:space="preserve">Göteborg har en stark position internationellt inom hållbar destinationsutveckling. Framgången är ett resultat av ett engagerat och aktivt hållbarhetsarbete. Positionen bekräftas i den internationellt jämförande studien Global Destination Sustainability Index (GDSI) där Göteborg har varit i topp samtliga fyra år som rankingen genomförts. Indexet är ett viktigt verktyg i konkurrensen om internationella möten och evenemang. Verktyget speglar destinationens arbete inom stadens miljömässiga hållbarhet, stadens sociala hållbarhet, besöksnäringens aktörers hållbarhet, samt ledning, styrning och utveckling av destinationen. </w:t>
      </w:r>
    </w:p>
    <w:p w14:paraId="5C30E31A" w14:textId="181AC5F3" w:rsidR="4075A125" w:rsidRDefault="72CD8E7F" w:rsidP="5349B30D">
      <w:pPr>
        <w:spacing w:beforeAutospacing="1" w:afterAutospacing="1" w:line="276" w:lineRule="auto"/>
        <w:rPr>
          <w:rStyle w:val="normaltextrun"/>
          <w:rFonts w:ascii="Times New Roman" w:eastAsia="Times New Roman" w:hAnsi="Times New Roman" w:cs="Times New Roman"/>
          <w:color w:val="000000" w:themeColor="text1"/>
        </w:rPr>
      </w:pPr>
      <w:r w:rsidRPr="5349B30D">
        <w:rPr>
          <w:rStyle w:val="normaltextrun"/>
          <w:rFonts w:ascii="Times New Roman" w:eastAsia="Times New Roman" w:hAnsi="Times New Roman" w:cs="Times New Roman"/>
          <w:color w:val="000000" w:themeColor="text1"/>
        </w:rPr>
        <w:t>GDSI kan sägas ge en god indikation för</w:t>
      </w:r>
      <w:r w:rsidR="7460A9EE" w:rsidRPr="5349B30D">
        <w:rPr>
          <w:rStyle w:val="normaltextrun"/>
          <w:rFonts w:ascii="Times New Roman" w:eastAsia="Times New Roman" w:hAnsi="Times New Roman" w:cs="Times New Roman"/>
          <w:color w:val="000000" w:themeColor="text1"/>
        </w:rPr>
        <w:t xml:space="preserve"> arbetet mot</w:t>
      </w:r>
      <w:r w:rsidRPr="5349B30D">
        <w:rPr>
          <w:rStyle w:val="normaltextrun"/>
          <w:rFonts w:ascii="Times New Roman" w:eastAsia="Times New Roman" w:hAnsi="Times New Roman" w:cs="Times New Roman"/>
          <w:color w:val="000000" w:themeColor="text1"/>
        </w:rPr>
        <w:t xml:space="preserve"> </w:t>
      </w:r>
      <w:r w:rsidR="600B6705" w:rsidRPr="5349B30D">
        <w:rPr>
          <w:rStyle w:val="normaltextrun"/>
          <w:rFonts w:ascii="Times New Roman" w:eastAsia="Times New Roman" w:hAnsi="Times New Roman" w:cs="Times New Roman"/>
          <w:color w:val="000000" w:themeColor="text1"/>
        </w:rPr>
        <w:t xml:space="preserve">programmets </w:t>
      </w:r>
      <w:r w:rsidRPr="5349B30D">
        <w:rPr>
          <w:rStyle w:val="normaltextrun"/>
          <w:rFonts w:ascii="Times New Roman" w:eastAsia="Times New Roman" w:hAnsi="Times New Roman" w:cs="Times New Roman"/>
          <w:color w:val="000000" w:themeColor="text1"/>
        </w:rPr>
        <w:t>övergripande målbild</w:t>
      </w:r>
      <w:r w:rsidR="2DA52362" w:rsidRPr="5349B30D">
        <w:rPr>
          <w:rStyle w:val="normaltextrun"/>
          <w:rFonts w:ascii="Times New Roman" w:eastAsia="Times New Roman" w:hAnsi="Times New Roman" w:cs="Times New Roman"/>
          <w:color w:val="000000" w:themeColor="text1"/>
        </w:rPr>
        <w:t xml:space="preserve"> </w:t>
      </w:r>
      <w:r w:rsidRPr="5349B30D">
        <w:rPr>
          <w:rStyle w:val="normaltextrun"/>
          <w:rFonts w:ascii="Times New Roman" w:eastAsia="Times New Roman" w:hAnsi="Times New Roman" w:cs="Times New Roman"/>
          <w:color w:val="000000" w:themeColor="text1"/>
        </w:rPr>
        <w:t xml:space="preserve">- </w:t>
      </w:r>
      <w:r w:rsidR="787C5DF5" w:rsidRPr="5349B30D">
        <w:rPr>
          <w:rStyle w:val="normaltextrun"/>
          <w:rFonts w:ascii="Times New Roman" w:eastAsia="Times New Roman" w:hAnsi="Times New Roman" w:cs="Times New Roman"/>
          <w:color w:val="000000" w:themeColor="text1"/>
        </w:rPr>
        <w:t>Hå</w:t>
      </w:r>
      <w:r w:rsidRPr="5349B30D">
        <w:rPr>
          <w:rStyle w:val="normaltextrun"/>
          <w:rFonts w:ascii="Times New Roman" w:eastAsia="Times New Roman" w:hAnsi="Times New Roman" w:cs="Times New Roman"/>
          <w:color w:val="000000" w:themeColor="text1"/>
        </w:rPr>
        <w:t>llbar destination</w:t>
      </w:r>
      <w:r w:rsidR="1F3BF632" w:rsidRPr="5349B30D">
        <w:rPr>
          <w:rStyle w:val="normaltextrun"/>
          <w:rFonts w:ascii="Times New Roman" w:eastAsia="Times New Roman" w:hAnsi="Times New Roman" w:cs="Times New Roman"/>
          <w:color w:val="000000" w:themeColor="text1"/>
        </w:rPr>
        <w:t xml:space="preserve"> 2030</w:t>
      </w:r>
      <w:r w:rsidRPr="5349B30D">
        <w:rPr>
          <w:rStyle w:val="normaltextrun"/>
          <w:rFonts w:ascii="Times New Roman" w:eastAsia="Times New Roman" w:hAnsi="Times New Roman" w:cs="Times New Roman"/>
          <w:color w:val="000000" w:themeColor="text1"/>
        </w:rPr>
        <w:t xml:space="preserve">. Indexet, som revideras regelbundet, pekar på väsentliga områden och insatser och blir på så sätt även ett utvecklingsverktyg. </w:t>
      </w:r>
    </w:p>
    <w:p w14:paraId="2E03322F" w14:textId="3C0604A7" w:rsidR="5EF79760" w:rsidRDefault="6087CEFF" w:rsidP="00484A33">
      <w:pPr>
        <w:spacing w:beforeAutospacing="1" w:afterAutospacing="1" w:line="276" w:lineRule="auto"/>
        <w:rPr>
          <w:rFonts w:ascii="Times New Roman" w:eastAsia="Times New Roman" w:hAnsi="Times New Roman" w:cs="Times New Roman"/>
        </w:rPr>
      </w:pPr>
      <w:r w:rsidRPr="4E746557">
        <w:rPr>
          <w:rFonts w:ascii="Times New Roman" w:eastAsia="Times New Roman" w:hAnsi="Times New Roman" w:cs="Times New Roman"/>
        </w:rPr>
        <w:t xml:space="preserve"> </w:t>
      </w:r>
    </w:p>
    <w:p w14:paraId="2809DF22" w14:textId="4F01E8B4" w:rsidR="5EF79760" w:rsidRDefault="72CD8E7F" w:rsidP="00484A33">
      <w:pPr>
        <w:spacing w:beforeAutospacing="1" w:afterAutospacing="1" w:line="276" w:lineRule="auto"/>
        <w:rPr>
          <w:rStyle w:val="normaltextrun"/>
          <w:rFonts w:ascii="Times New Roman" w:eastAsia="Times New Roman" w:hAnsi="Times New Roman" w:cs="Times New Roman"/>
          <w:color w:val="000000" w:themeColor="text1"/>
        </w:rPr>
      </w:pPr>
      <w:r w:rsidRPr="4E746557">
        <w:rPr>
          <w:rStyle w:val="normaltextrun"/>
          <w:rFonts w:ascii="Times New Roman" w:eastAsia="Times New Roman" w:hAnsi="Times New Roman" w:cs="Times New Roman"/>
          <w:color w:val="000000" w:themeColor="text1"/>
        </w:rPr>
        <w:lastRenderedPageBreak/>
        <w:t>Destinationens hållbarhetsarbete förutsätter ett engagemang inom alla tre dimensionerna hos respektive aktör. Den globala klimatutmaningen påverkar besöksnäringen i stor omfattning och förväntningarna på näringslivet att agera ökar. Parallellt med denna utveckling riktas ökat fokus på företagens arbete med social hållbarhet. Att till exempel verka för och uppmana aktörer i besöksnäringen att ansluta sig till tredjepartsaktörers certifieringar, såsom t</w:t>
      </w:r>
      <w:r w:rsidR="04E17953" w:rsidRPr="4E746557">
        <w:rPr>
          <w:rStyle w:val="normaltextrun"/>
          <w:rFonts w:ascii="Times New Roman" w:eastAsia="Times New Roman" w:hAnsi="Times New Roman" w:cs="Times New Roman"/>
          <w:color w:val="000000" w:themeColor="text1"/>
        </w:rPr>
        <w:t>.ex.</w:t>
      </w:r>
      <w:r w:rsidRPr="4E746557">
        <w:rPr>
          <w:rStyle w:val="normaltextrun"/>
          <w:rFonts w:ascii="Times New Roman" w:eastAsia="Times New Roman" w:hAnsi="Times New Roman" w:cs="Times New Roman"/>
          <w:color w:val="000000" w:themeColor="text1"/>
        </w:rPr>
        <w:t xml:space="preserve"> Svanen, Green Key eller K</w:t>
      </w:r>
      <w:r w:rsidR="70DDE586" w:rsidRPr="4E746557">
        <w:rPr>
          <w:rStyle w:val="normaltextrun"/>
          <w:rFonts w:ascii="Times New Roman" w:eastAsia="Times New Roman" w:hAnsi="Times New Roman" w:cs="Times New Roman"/>
          <w:color w:val="000000" w:themeColor="text1"/>
        </w:rPr>
        <w:t>rav</w:t>
      </w:r>
      <w:r w:rsidRPr="4E746557">
        <w:rPr>
          <w:rStyle w:val="normaltextrun"/>
          <w:rFonts w:ascii="Times New Roman" w:eastAsia="Times New Roman" w:hAnsi="Times New Roman" w:cs="Times New Roman"/>
          <w:color w:val="000000" w:themeColor="text1"/>
        </w:rPr>
        <w:t>, driver hållbar utveckling</w:t>
      </w:r>
      <w:r w:rsidR="35529263" w:rsidRPr="4E746557">
        <w:rPr>
          <w:rStyle w:val="normaltextrun"/>
          <w:rFonts w:ascii="Times New Roman" w:eastAsia="Times New Roman" w:hAnsi="Times New Roman" w:cs="Times New Roman"/>
          <w:color w:val="000000" w:themeColor="text1"/>
        </w:rPr>
        <w:t xml:space="preserve"> i hela näringen</w:t>
      </w:r>
      <w:r w:rsidRPr="4E746557">
        <w:rPr>
          <w:rStyle w:val="normaltextrun"/>
          <w:rFonts w:ascii="Times New Roman" w:eastAsia="Times New Roman" w:hAnsi="Times New Roman" w:cs="Times New Roman"/>
          <w:color w:val="000000" w:themeColor="text1"/>
        </w:rPr>
        <w:t xml:space="preserve">. </w:t>
      </w:r>
    </w:p>
    <w:p w14:paraId="05092240" w14:textId="5C20BA90" w:rsidR="5EF79760" w:rsidRDefault="42BB22D0" w:rsidP="00484A33">
      <w:pPr>
        <w:spacing w:beforeAutospacing="1" w:afterAutospacing="1" w:line="276" w:lineRule="auto"/>
        <w:rPr>
          <w:color w:val="000000" w:themeColor="text1"/>
        </w:rPr>
      </w:pPr>
      <w:r w:rsidRPr="4E746557">
        <w:rPr>
          <w:rStyle w:val="normaltextrun"/>
          <w:rFonts w:ascii="Times New Roman" w:eastAsia="Times New Roman" w:hAnsi="Times New Roman" w:cs="Times New Roman"/>
          <w:color w:val="000000" w:themeColor="text1"/>
        </w:rPr>
        <w:t xml:space="preserve">Indikatorerna som avser andelen miljöcertifierade hotellrum och konferensanläggningar på destinationen bygger på uppgifter från anläggningarna som samlats in och sammanställts av Göteborg &amp; </w:t>
      </w:r>
      <w:r w:rsidR="00657962">
        <w:rPr>
          <w:rStyle w:val="normaltextrun"/>
          <w:rFonts w:ascii="Times New Roman" w:eastAsia="Times New Roman" w:hAnsi="Times New Roman" w:cs="Times New Roman"/>
          <w:color w:val="000000" w:themeColor="text1"/>
        </w:rPr>
        <w:t>C</w:t>
      </w:r>
      <w:r w:rsidRPr="4E746557">
        <w:rPr>
          <w:rStyle w:val="normaltextrun"/>
          <w:rFonts w:ascii="Times New Roman" w:eastAsia="Times New Roman" w:hAnsi="Times New Roman" w:cs="Times New Roman"/>
          <w:color w:val="000000" w:themeColor="text1"/>
        </w:rPr>
        <w:t xml:space="preserve">o under perioden april-juli 2021. Samtliga hotell med över 50 rum har tillfrågats och för konferensanläggningar har en begränsning gjorts till att enbart inkludera de anläggningar som är dedikerade till möten, inte konferenshotell. Andelen som presenteras är den andel av hotellrummen/konferensanläggningarna som själva uppger att de innehar något miljöcertifikat för sin verksamhet. Några exempel på utförare av certifikaten är Svanen, Green Key, SamCert Miljödiplomering och ISO 20121.  </w:t>
      </w:r>
    </w:p>
    <w:p w14:paraId="654E16A5" w14:textId="58513718" w:rsidR="4075A125" w:rsidRDefault="2BC8C63B" w:rsidP="00484A33">
      <w:pPr>
        <w:spacing w:beforeAutospacing="1" w:afterAutospacing="1" w:line="276" w:lineRule="auto"/>
        <w:rPr>
          <w:rFonts w:ascii="Times New Roman" w:eastAsia="Times New Roman" w:hAnsi="Times New Roman" w:cs="Times New Roman"/>
          <w:color w:val="000000" w:themeColor="text1"/>
          <w:highlight w:val="cyan"/>
        </w:rPr>
      </w:pPr>
      <w:r w:rsidRPr="4E746557">
        <w:rPr>
          <w:rStyle w:val="normaltextrun"/>
          <w:rFonts w:ascii="Times New Roman" w:eastAsia="Times New Roman" w:hAnsi="Times New Roman" w:cs="Times New Roman"/>
          <w:color w:val="000000" w:themeColor="text1"/>
        </w:rPr>
        <w:t xml:space="preserve">Givet stadens ambitioner och målsättningar har destinationen goda förutsättningar för ett hållbarhetsarbete i världsklass. Tillsammans med Göteborgs Stad kan besöksnäringens aktörer även bidra till att uppnå stadens mål, såsom mål om full delaktighet, mål om jämlik stad, etc. </w:t>
      </w:r>
    </w:p>
    <w:p w14:paraId="0BA562C1" w14:textId="3707FCE4" w:rsidR="5EF79760" w:rsidRPr="00364CE3" w:rsidRDefault="2BC8C63B" w:rsidP="00484A33">
      <w:pPr>
        <w:spacing w:beforeAutospacing="1" w:afterAutospacing="1" w:line="276" w:lineRule="auto"/>
        <w:rPr>
          <w:rFonts w:ascii="Times New Roman" w:eastAsia="Times New Roman" w:hAnsi="Times New Roman" w:cs="Times New Roman"/>
          <w:color w:val="000000" w:themeColor="text1"/>
        </w:rPr>
      </w:pPr>
      <w:r w:rsidRPr="00364CE3">
        <w:rPr>
          <w:rStyle w:val="normaltextrun"/>
          <w:rFonts w:ascii="Times New Roman" w:eastAsia="Times New Roman" w:hAnsi="Times New Roman" w:cs="Times New Roman"/>
          <w:color w:val="000000" w:themeColor="text1"/>
        </w:rPr>
        <w:t xml:space="preserve">I </w:t>
      </w:r>
      <w:r w:rsidR="00364CE3" w:rsidRPr="00364CE3">
        <w:rPr>
          <w:rStyle w:val="normaltextrun"/>
          <w:rFonts w:ascii="Times New Roman" w:eastAsia="Times New Roman" w:hAnsi="Times New Roman" w:cs="Times New Roman"/>
          <w:color w:val="000000" w:themeColor="text1"/>
        </w:rPr>
        <w:t>b</w:t>
      </w:r>
      <w:r w:rsidRPr="00364CE3">
        <w:rPr>
          <w:rStyle w:val="normaltextrun"/>
          <w:rFonts w:ascii="Times New Roman" w:eastAsia="Times New Roman" w:hAnsi="Times New Roman" w:cs="Times New Roman"/>
          <w:color w:val="000000" w:themeColor="text1"/>
        </w:rPr>
        <w:t>esöksnäringsprogrammet har följande tre indikatorer valts för uppföljning av detta mål:</w:t>
      </w:r>
    </w:p>
    <w:p w14:paraId="6D2A7017" w14:textId="51534093" w:rsidR="5EF79760" w:rsidRPr="00364CE3" w:rsidRDefault="2BC8C63B" w:rsidP="00484A33">
      <w:pPr>
        <w:pStyle w:val="Liststycke"/>
        <w:numPr>
          <w:ilvl w:val="0"/>
          <w:numId w:val="9"/>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 xml:space="preserve"> GDSI hållbarhetsranking</w:t>
      </w:r>
      <w:r w:rsidR="307A7562" w:rsidRPr="00364CE3">
        <w:rPr>
          <w:rStyle w:val="normaltextrun"/>
          <w:rFonts w:ascii="Times New Roman" w:eastAsia="Times New Roman" w:hAnsi="Times New Roman" w:cs="Times New Roman"/>
          <w:color w:val="000000" w:themeColor="text1"/>
        </w:rPr>
        <w:t xml:space="preserve"> (Källa: GDSI)</w:t>
      </w:r>
    </w:p>
    <w:p w14:paraId="3234B135" w14:textId="3EBCA2AD" w:rsidR="4075A125" w:rsidRPr="00364CE3" w:rsidRDefault="307A7562" w:rsidP="00484A33">
      <w:pPr>
        <w:pStyle w:val="Liststycke"/>
        <w:numPr>
          <w:ilvl w:val="0"/>
          <w:numId w:val="9"/>
        </w:numPr>
        <w:spacing w:beforeAutospacing="1" w:afterAutospacing="1" w:line="276" w:lineRule="auto"/>
        <w:rPr>
          <w:rFonts w:eastAsiaTheme="minorEastAsia"/>
          <w:color w:val="000000" w:themeColor="text1"/>
        </w:rPr>
      </w:pPr>
      <w:r w:rsidRPr="00364CE3">
        <w:rPr>
          <w:rStyle w:val="normaltextrun"/>
          <w:rFonts w:ascii="Times New Roman" w:eastAsia="Times New Roman" w:hAnsi="Times New Roman" w:cs="Times New Roman"/>
          <w:color w:val="000000" w:themeColor="text1"/>
        </w:rPr>
        <w:t xml:space="preserve">Andel miljöcertifierade hotellrum (Källa: Göteborg &amp; </w:t>
      </w:r>
      <w:r w:rsidR="0F3F15B8" w:rsidRPr="00364CE3">
        <w:rPr>
          <w:rStyle w:val="normaltextrun"/>
          <w:rFonts w:ascii="Times New Roman" w:eastAsia="Times New Roman" w:hAnsi="Times New Roman" w:cs="Times New Roman"/>
          <w:color w:val="000000" w:themeColor="text1"/>
        </w:rPr>
        <w:t>C</w:t>
      </w:r>
      <w:r w:rsidRPr="00364CE3">
        <w:rPr>
          <w:rStyle w:val="normaltextrun"/>
          <w:rFonts w:ascii="Times New Roman" w:eastAsia="Times New Roman" w:hAnsi="Times New Roman" w:cs="Times New Roman"/>
          <w:color w:val="000000" w:themeColor="text1"/>
        </w:rPr>
        <w:t xml:space="preserve">o) </w:t>
      </w:r>
    </w:p>
    <w:p w14:paraId="42FAC0F3" w14:textId="2359DFFC" w:rsidR="4075A125" w:rsidRPr="00326E95" w:rsidRDefault="76C2E670" w:rsidP="00484A33">
      <w:pPr>
        <w:pStyle w:val="Liststycke"/>
        <w:numPr>
          <w:ilvl w:val="0"/>
          <w:numId w:val="9"/>
        </w:numPr>
        <w:spacing w:beforeAutospacing="1" w:afterAutospacing="1" w:line="276" w:lineRule="auto"/>
        <w:rPr>
          <w:rStyle w:val="normaltextrun"/>
          <w:rFonts w:eastAsiaTheme="minorEastAsia"/>
          <w:color w:val="000000" w:themeColor="text1"/>
        </w:rPr>
      </w:pPr>
      <w:r w:rsidRPr="00364CE3">
        <w:rPr>
          <w:rStyle w:val="normaltextrun"/>
          <w:rFonts w:ascii="Times New Roman" w:eastAsia="Times New Roman" w:hAnsi="Times New Roman" w:cs="Times New Roman"/>
          <w:color w:val="000000" w:themeColor="text1"/>
        </w:rPr>
        <w:t xml:space="preserve">Andel miljöcertifierade konferensanläggningar (Källa: Göteborg &amp; </w:t>
      </w:r>
      <w:r w:rsidR="2C6FEF6F" w:rsidRPr="00364CE3">
        <w:rPr>
          <w:rStyle w:val="normaltextrun"/>
          <w:rFonts w:ascii="Times New Roman" w:eastAsia="Times New Roman" w:hAnsi="Times New Roman" w:cs="Times New Roman"/>
          <w:color w:val="000000" w:themeColor="text1"/>
        </w:rPr>
        <w:t>C</w:t>
      </w:r>
      <w:r w:rsidRPr="00364CE3">
        <w:rPr>
          <w:rStyle w:val="normaltextrun"/>
          <w:rFonts w:ascii="Times New Roman" w:eastAsia="Times New Roman" w:hAnsi="Times New Roman" w:cs="Times New Roman"/>
          <w:color w:val="000000" w:themeColor="text1"/>
        </w:rPr>
        <w:t>o)</w:t>
      </w:r>
    </w:p>
    <w:p w14:paraId="523DC730" w14:textId="467E45ED" w:rsidR="00326E95" w:rsidRPr="00326E95" w:rsidRDefault="00326E95" w:rsidP="00326E95">
      <w:pPr>
        <w:rPr>
          <w:rFonts w:ascii="Times New Roman" w:eastAsia="Times New Roman" w:hAnsi="Times New Roman" w:cs="Times New Roman"/>
          <w:color w:val="000000" w:themeColor="text1"/>
        </w:rPr>
      </w:pPr>
    </w:p>
    <w:p w14:paraId="69AF64BA" w14:textId="0896F862" w:rsidR="4075A125" w:rsidRPr="00326E95" w:rsidRDefault="6779CCEA" w:rsidP="00326E95">
      <w:pPr>
        <w:pStyle w:val="Rubrik2"/>
        <w:ind w:left="426" w:hanging="426"/>
        <w:rPr>
          <w:rStyle w:val="normaltextrun"/>
        </w:rPr>
      </w:pPr>
      <w:bookmarkStart w:id="4" w:name="_Toc84334725"/>
      <w:r w:rsidRPr="00326E95">
        <w:rPr>
          <w:rStyle w:val="normaltextrun"/>
        </w:rPr>
        <w:t xml:space="preserve">Specifikation </w:t>
      </w:r>
      <w:r w:rsidR="48D79DE9" w:rsidRPr="00326E95">
        <w:rPr>
          <w:rStyle w:val="normaltextrun"/>
        </w:rPr>
        <w:t>p</w:t>
      </w:r>
      <w:r w:rsidR="0570FC9B" w:rsidRPr="00326E95">
        <w:rPr>
          <w:rStyle w:val="normaltextrun"/>
        </w:rPr>
        <w:t>rogrammets bidrag till Agenda 2030</w:t>
      </w:r>
      <w:bookmarkEnd w:id="4"/>
    </w:p>
    <w:p w14:paraId="4D6B9EDB" w14:textId="728C9243" w:rsidR="4075A125" w:rsidRDefault="3AA3E624" w:rsidP="00484A33">
      <w:pPr>
        <w:spacing w:beforeAutospacing="1" w:afterAutospacing="1" w:line="276" w:lineRule="auto"/>
        <w:rPr>
          <w:rStyle w:val="normaltextrun"/>
          <w:rFonts w:ascii="Times New Roman" w:eastAsia="Times New Roman" w:hAnsi="Times New Roman" w:cs="Times New Roman"/>
          <w:b/>
          <w:bCs/>
          <w:color w:val="000000" w:themeColor="text1"/>
          <w:sz w:val="24"/>
          <w:szCs w:val="24"/>
        </w:rPr>
      </w:pPr>
      <w:r w:rsidRPr="771FD6CC">
        <w:rPr>
          <w:rStyle w:val="normaltextrun"/>
          <w:rFonts w:ascii="Times New Roman" w:eastAsia="Times New Roman" w:hAnsi="Times New Roman" w:cs="Times New Roman"/>
          <w:b/>
          <w:bCs/>
          <w:color w:val="000000" w:themeColor="text1"/>
          <w:sz w:val="24"/>
          <w:szCs w:val="24"/>
        </w:rPr>
        <w:t>Specifikation mål och delmål</w:t>
      </w:r>
    </w:p>
    <w:tbl>
      <w:tblPr>
        <w:tblStyle w:val="Tabellrutnt"/>
        <w:tblW w:w="9015" w:type="dxa"/>
        <w:tblLayout w:type="fixed"/>
        <w:tblLook w:val="06A0" w:firstRow="1" w:lastRow="0" w:firstColumn="1" w:lastColumn="0" w:noHBand="1" w:noVBand="1"/>
      </w:tblPr>
      <w:tblGrid>
        <w:gridCol w:w="4794"/>
        <w:gridCol w:w="4221"/>
      </w:tblGrid>
      <w:tr w:rsidR="771FD6CC" w14:paraId="55047F19" w14:textId="77777777" w:rsidTr="00364CE3">
        <w:trPr>
          <w:trHeight w:val="345"/>
        </w:trPr>
        <w:tc>
          <w:tcPr>
            <w:tcW w:w="4794" w:type="dxa"/>
            <w:tcBorders>
              <w:top w:val="single" w:sz="8" w:space="0" w:color="auto"/>
              <w:left w:val="single" w:sz="8" w:space="0" w:color="auto"/>
              <w:bottom w:val="nil"/>
              <w:right w:val="nil"/>
            </w:tcBorders>
            <w:shd w:val="clear" w:color="auto" w:fill="FCE4D6"/>
          </w:tcPr>
          <w:p w14:paraId="2487AE3F" w14:textId="17D55B6B" w:rsidR="771FD6CC" w:rsidRDefault="005F2DB0" w:rsidP="00484A33">
            <w:pPr>
              <w:spacing w:line="276" w:lineRule="auto"/>
            </w:pPr>
            <w:r w:rsidRPr="771FD6CC">
              <w:rPr>
                <w:rFonts w:ascii="Calibri" w:eastAsia="Calibri" w:hAnsi="Calibri" w:cs="Calibri"/>
                <w:b/>
                <w:bCs/>
                <w:color w:val="000000" w:themeColor="text1"/>
                <w:sz w:val="24"/>
                <w:szCs w:val="24"/>
              </w:rPr>
              <w:t>SDG:s</w:t>
            </w:r>
            <w:r w:rsidR="771FD6CC" w:rsidRPr="771FD6CC">
              <w:rPr>
                <w:rFonts w:ascii="Calibri" w:eastAsia="Calibri" w:hAnsi="Calibri" w:cs="Calibri"/>
                <w:b/>
                <w:bCs/>
                <w:color w:val="000000" w:themeColor="text1"/>
                <w:sz w:val="24"/>
                <w:szCs w:val="24"/>
              </w:rPr>
              <w:t xml:space="preserve"> Mål och Delmål med koppling till Besöksnäringsprogrammet</w:t>
            </w:r>
          </w:p>
        </w:tc>
        <w:tc>
          <w:tcPr>
            <w:tcW w:w="4221" w:type="dxa"/>
            <w:tcBorders>
              <w:top w:val="single" w:sz="8" w:space="0" w:color="auto"/>
              <w:left w:val="nil"/>
              <w:bottom w:val="nil"/>
              <w:right w:val="single" w:sz="8" w:space="0" w:color="auto"/>
            </w:tcBorders>
            <w:shd w:val="clear" w:color="auto" w:fill="FCE4D6"/>
          </w:tcPr>
          <w:p w14:paraId="7FD43A05" w14:textId="758FCCA8" w:rsidR="771FD6CC" w:rsidRDefault="771FD6CC" w:rsidP="00484A33">
            <w:pPr>
              <w:spacing w:line="276" w:lineRule="auto"/>
            </w:pPr>
            <w:r w:rsidRPr="771FD6CC">
              <w:rPr>
                <w:rFonts w:ascii="Calibri" w:eastAsia="Calibri" w:hAnsi="Calibri" w:cs="Calibri"/>
                <w:b/>
                <w:bCs/>
                <w:color w:val="000000" w:themeColor="text1"/>
                <w:sz w:val="24"/>
                <w:szCs w:val="24"/>
              </w:rPr>
              <w:t xml:space="preserve"> </w:t>
            </w:r>
          </w:p>
        </w:tc>
      </w:tr>
      <w:tr w:rsidR="771FD6CC" w14:paraId="10663DAD" w14:textId="77777777" w:rsidTr="00364CE3">
        <w:trPr>
          <w:trHeight w:val="315"/>
        </w:trPr>
        <w:tc>
          <w:tcPr>
            <w:tcW w:w="4794" w:type="dxa"/>
            <w:tcBorders>
              <w:top w:val="nil"/>
              <w:left w:val="single" w:sz="8" w:space="0" w:color="auto"/>
              <w:bottom w:val="single" w:sz="8" w:space="0" w:color="auto"/>
              <w:right w:val="nil"/>
            </w:tcBorders>
            <w:shd w:val="clear" w:color="auto" w:fill="FCE4D6"/>
          </w:tcPr>
          <w:p w14:paraId="364D7B20" w14:textId="609FCA45" w:rsidR="771FD6CC" w:rsidRDefault="771FD6CC" w:rsidP="00484A33">
            <w:pPr>
              <w:spacing w:line="276" w:lineRule="auto"/>
            </w:pPr>
            <w:r w:rsidRPr="771FD6CC">
              <w:rPr>
                <w:rFonts w:ascii="Calibri" w:eastAsia="Calibri" w:hAnsi="Calibri" w:cs="Calibri"/>
                <w:color w:val="000000" w:themeColor="text1"/>
                <w:sz w:val="24"/>
                <w:szCs w:val="24"/>
              </w:rPr>
              <w:t xml:space="preserve"> </w:t>
            </w:r>
          </w:p>
        </w:tc>
        <w:tc>
          <w:tcPr>
            <w:tcW w:w="4221" w:type="dxa"/>
            <w:tcBorders>
              <w:top w:val="nil"/>
              <w:left w:val="nil"/>
              <w:bottom w:val="single" w:sz="8" w:space="0" w:color="auto"/>
              <w:right w:val="single" w:sz="8" w:space="0" w:color="auto"/>
            </w:tcBorders>
            <w:shd w:val="clear" w:color="auto" w:fill="FCE4D6"/>
          </w:tcPr>
          <w:p w14:paraId="26EFA428" w14:textId="5EB48F3D" w:rsidR="771FD6CC" w:rsidRDefault="771FD6CC" w:rsidP="00484A33">
            <w:pPr>
              <w:spacing w:line="276" w:lineRule="auto"/>
            </w:pPr>
            <w:r w:rsidRPr="771FD6CC">
              <w:rPr>
                <w:rFonts w:ascii="Calibri" w:eastAsia="Calibri" w:hAnsi="Calibri" w:cs="Calibri"/>
                <w:color w:val="000000" w:themeColor="text1"/>
                <w:sz w:val="24"/>
                <w:szCs w:val="24"/>
              </w:rPr>
              <w:t xml:space="preserve"> </w:t>
            </w:r>
          </w:p>
        </w:tc>
      </w:tr>
      <w:tr w:rsidR="771FD6CC" w14:paraId="7739A864" w14:textId="77777777" w:rsidTr="00364CE3">
        <w:trPr>
          <w:trHeight w:val="525"/>
        </w:trPr>
        <w:tc>
          <w:tcPr>
            <w:tcW w:w="4794" w:type="dxa"/>
            <w:tcBorders>
              <w:top w:val="single" w:sz="8" w:space="0" w:color="auto"/>
              <w:left w:val="single" w:sz="4" w:space="0" w:color="auto"/>
              <w:bottom w:val="single" w:sz="4" w:space="0" w:color="auto"/>
              <w:right w:val="single" w:sz="4" w:space="0" w:color="auto"/>
            </w:tcBorders>
            <w:shd w:val="clear" w:color="auto" w:fill="A9D08E"/>
          </w:tcPr>
          <w:p w14:paraId="67C67B7C" w14:textId="60D3A2F8" w:rsidR="771FD6CC" w:rsidRDefault="771FD6CC" w:rsidP="00484A33">
            <w:pPr>
              <w:spacing w:line="276" w:lineRule="auto"/>
            </w:pPr>
            <w:r w:rsidRPr="771FD6CC">
              <w:rPr>
                <w:rFonts w:ascii="Calibri" w:eastAsia="Calibri" w:hAnsi="Calibri" w:cs="Calibri"/>
                <w:b/>
                <w:bCs/>
                <w:color w:val="000000" w:themeColor="text1"/>
                <w:sz w:val="20"/>
                <w:szCs w:val="20"/>
              </w:rPr>
              <w:t>SDG 8: Verka för varaktig, inkluderande och hållbar ekonomisk tillväxt, full och produktiv sysselsättning med anständiga arbetsvillkor för alla</w:t>
            </w:r>
          </w:p>
        </w:tc>
        <w:tc>
          <w:tcPr>
            <w:tcW w:w="4221" w:type="dxa"/>
            <w:tcBorders>
              <w:top w:val="single" w:sz="8" w:space="0" w:color="auto"/>
              <w:left w:val="single" w:sz="4" w:space="0" w:color="auto"/>
              <w:bottom w:val="single" w:sz="4" w:space="0" w:color="auto"/>
              <w:right w:val="single" w:sz="4" w:space="0" w:color="auto"/>
            </w:tcBorders>
            <w:shd w:val="clear" w:color="auto" w:fill="A9D08E"/>
          </w:tcPr>
          <w:p w14:paraId="0EE61DEF" w14:textId="76E998E0"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24068687" w14:textId="77777777" w:rsidTr="00364CE3">
        <w:trPr>
          <w:trHeight w:val="1035"/>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72EC5FA7" w14:textId="1667AC16" w:rsidR="771FD6CC" w:rsidRDefault="771FD6CC" w:rsidP="00484A33">
            <w:pPr>
              <w:spacing w:line="276" w:lineRule="auto"/>
            </w:pPr>
            <w:r w:rsidRPr="771FD6CC">
              <w:rPr>
                <w:rFonts w:ascii="Calibri" w:eastAsia="Calibri" w:hAnsi="Calibri" w:cs="Calibri"/>
                <w:color w:val="000000" w:themeColor="text1"/>
                <w:sz w:val="20"/>
                <w:szCs w:val="20"/>
              </w:rPr>
              <w:t>8.4 Fram till 2030 successivt förbättra den globala resurseffektiviteten i konsumtionen och produktionen samt sträva efter att bryta sambandet mellan ekonomisk tillväxt och miljöförstöring, i enlighet med det tioåriga ramverket för hållbar konsumtion och produktion, med de utvecklade länderna i täten.</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5659E659" w14:textId="521439A4"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5DA6C21D" w14:textId="77777777" w:rsidTr="00364CE3">
        <w:trPr>
          <w:trHeight w:val="525"/>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26DDDAFB" w14:textId="1B4E0A04" w:rsidR="771FD6CC" w:rsidRDefault="771FD6CC" w:rsidP="00484A33">
            <w:pPr>
              <w:spacing w:line="276" w:lineRule="auto"/>
            </w:pPr>
            <w:r w:rsidRPr="771FD6CC">
              <w:rPr>
                <w:rFonts w:ascii="Calibri" w:eastAsia="Calibri" w:hAnsi="Calibri" w:cs="Calibri"/>
                <w:color w:val="000000" w:themeColor="text1"/>
                <w:sz w:val="20"/>
                <w:szCs w:val="20"/>
              </w:rPr>
              <w:t>8.9 Senast 2030 utarbeta och genomföra politik för hållbar turism som skapar arbetstillfällen och främjar lokal kultur och lokala produkter.</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6219A80E" w14:textId="3C35E948"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262972BF" w14:textId="77777777" w:rsidTr="00364CE3">
        <w:trPr>
          <w:trHeight w:val="285"/>
        </w:trPr>
        <w:tc>
          <w:tcPr>
            <w:tcW w:w="4794" w:type="dxa"/>
            <w:tcBorders>
              <w:top w:val="single" w:sz="4" w:space="0" w:color="auto"/>
              <w:left w:val="nil"/>
              <w:bottom w:val="nil"/>
              <w:right w:val="nil"/>
            </w:tcBorders>
          </w:tcPr>
          <w:p w14:paraId="00B94108" w14:textId="1C134BA2" w:rsidR="771FD6CC" w:rsidRDefault="771FD6CC" w:rsidP="00484A33">
            <w:pPr>
              <w:spacing w:line="276" w:lineRule="auto"/>
            </w:pPr>
          </w:p>
        </w:tc>
        <w:tc>
          <w:tcPr>
            <w:tcW w:w="4221" w:type="dxa"/>
            <w:tcBorders>
              <w:top w:val="single" w:sz="4" w:space="0" w:color="auto"/>
              <w:left w:val="nil"/>
              <w:bottom w:val="nil"/>
              <w:right w:val="nil"/>
            </w:tcBorders>
          </w:tcPr>
          <w:p w14:paraId="645EB8B7" w14:textId="318AB0ED" w:rsidR="771FD6CC" w:rsidRDefault="771FD6CC" w:rsidP="00484A33">
            <w:pPr>
              <w:spacing w:line="276" w:lineRule="auto"/>
            </w:pPr>
          </w:p>
        </w:tc>
      </w:tr>
      <w:tr w:rsidR="771FD6CC" w14:paraId="2EDFB7AB" w14:textId="77777777" w:rsidTr="00364CE3">
        <w:trPr>
          <w:trHeight w:val="525"/>
        </w:trPr>
        <w:tc>
          <w:tcPr>
            <w:tcW w:w="4794" w:type="dxa"/>
            <w:tcBorders>
              <w:top w:val="single" w:sz="4" w:space="0" w:color="auto"/>
              <w:left w:val="single" w:sz="4" w:space="0" w:color="auto"/>
              <w:bottom w:val="single" w:sz="4" w:space="0" w:color="auto"/>
              <w:right w:val="single" w:sz="4" w:space="0" w:color="auto"/>
            </w:tcBorders>
            <w:shd w:val="clear" w:color="auto" w:fill="A9D08E"/>
          </w:tcPr>
          <w:p w14:paraId="3C01923D" w14:textId="4E3361EE" w:rsidR="771FD6CC" w:rsidRDefault="771FD6CC" w:rsidP="00484A33">
            <w:pPr>
              <w:spacing w:line="276" w:lineRule="auto"/>
            </w:pPr>
            <w:r w:rsidRPr="771FD6CC">
              <w:rPr>
                <w:rFonts w:ascii="Calibri" w:eastAsia="Calibri" w:hAnsi="Calibri" w:cs="Calibri"/>
                <w:b/>
                <w:bCs/>
                <w:color w:val="000000" w:themeColor="text1"/>
                <w:sz w:val="20"/>
                <w:szCs w:val="20"/>
              </w:rPr>
              <w:lastRenderedPageBreak/>
              <w:t>SDG 11: Göra städer och bosättningar inkluderande, säkra, motståndskraftiga och hållbara</w:t>
            </w:r>
          </w:p>
        </w:tc>
        <w:tc>
          <w:tcPr>
            <w:tcW w:w="4221" w:type="dxa"/>
            <w:tcBorders>
              <w:top w:val="single" w:sz="4" w:space="0" w:color="auto"/>
              <w:left w:val="single" w:sz="4" w:space="0" w:color="auto"/>
              <w:bottom w:val="single" w:sz="4" w:space="0" w:color="auto"/>
              <w:right w:val="single" w:sz="4" w:space="0" w:color="auto"/>
            </w:tcBorders>
            <w:shd w:val="clear" w:color="auto" w:fill="A9D08E"/>
          </w:tcPr>
          <w:p w14:paraId="71DCAE22" w14:textId="7AA628EE"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7ECC1EEC" w14:textId="77777777" w:rsidTr="00364CE3">
        <w:trPr>
          <w:trHeight w:val="285"/>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6864C944" w14:textId="61D576EA" w:rsidR="771FD6CC" w:rsidRDefault="771FD6CC" w:rsidP="00484A33">
            <w:pPr>
              <w:spacing w:line="276" w:lineRule="auto"/>
            </w:pPr>
            <w:r w:rsidRPr="771FD6CC">
              <w:rPr>
                <w:rFonts w:ascii="Calibri" w:eastAsia="Calibri" w:hAnsi="Calibri" w:cs="Calibri"/>
                <w:color w:val="000000" w:themeColor="text1"/>
                <w:sz w:val="20"/>
                <w:szCs w:val="20"/>
              </w:rPr>
              <w:t>11.4 Stärka insatserna för att skydda och trygga världens kultur- och naturarv.</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75B66337" w14:textId="388B668F"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25A593EC" w14:textId="77777777" w:rsidTr="00364CE3">
        <w:trPr>
          <w:trHeight w:val="780"/>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230C5141" w14:textId="30386D37" w:rsidR="771FD6CC" w:rsidRDefault="771FD6CC" w:rsidP="00484A33">
            <w:pPr>
              <w:spacing w:line="276" w:lineRule="auto"/>
            </w:pPr>
            <w:r w:rsidRPr="771FD6CC">
              <w:rPr>
                <w:rFonts w:ascii="Calibri" w:eastAsia="Calibri" w:hAnsi="Calibri" w:cs="Calibri"/>
                <w:color w:val="000000" w:themeColor="text1"/>
                <w:sz w:val="20"/>
                <w:szCs w:val="20"/>
              </w:rPr>
              <w:t>11.6 Till 2030 minska städernas negativa miljöpåverkan per person, bland annat genom att ägna särskild uppmärksamhet åt luftkvalitet samt hantering av kommunalt och annat avfall.</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395653AB" w14:textId="3C411750"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75F6315D" w14:textId="77777777" w:rsidTr="00364CE3">
        <w:trPr>
          <w:trHeight w:val="780"/>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600F0641" w14:textId="2B9FDB8A" w:rsidR="771FD6CC" w:rsidRDefault="771FD6CC" w:rsidP="00484A33">
            <w:pPr>
              <w:spacing w:line="276" w:lineRule="auto"/>
            </w:pPr>
            <w:r w:rsidRPr="771FD6CC">
              <w:rPr>
                <w:rFonts w:ascii="Calibri" w:eastAsia="Calibri" w:hAnsi="Calibri" w:cs="Calibri"/>
                <w:color w:val="000000" w:themeColor="text1"/>
                <w:sz w:val="20"/>
                <w:szCs w:val="20"/>
              </w:rPr>
              <w:t>11.7 Senast 2030 tillhandahålla universell tillgång till säkra, inkluderande och tillgängliga grönområden och offentliga platser, i synnerhet för kvinnor och barn, äldre personer och personer med funktionsnedsättning.</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1136D188" w14:textId="1952785C"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77A60F4F" w14:textId="77777777" w:rsidTr="00364CE3">
        <w:trPr>
          <w:trHeight w:val="780"/>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751ACCC9" w14:textId="6F004E54" w:rsidR="771FD6CC" w:rsidRDefault="771FD6CC" w:rsidP="00484A33">
            <w:pPr>
              <w:spacing w:line="276" w:lineRule="auto"/>
            </w:pPr>
            <w:r w:rsidRPr="771FD6CC">
              <w:rPr>
                <w:rFonts w:ascii="Calibri" w:eastAsia="Calibri" w:hAnsi="Calibri" w:cs="Calibri"/>
                <w:color w:val="000000" w:themeColor="text1"/>
                <w:sz w:val="20"/>
                <w:szCs w:val="20"/>
              </w:rPr>
              <w:t>11.a Främja positiva ekonomiska, sociala och miljömässiga kopplingar mellan stadsområden, stadsnära områden och landsbygdsområden genom att stärka den nationella och regionala utvecklingsplaneringen.</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1CDA3924" w14:textId="7194BBDC"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1437232D" w14:textId="77777777" w:rsidTr="00364CE3">
        <w:trPr>
          <w:trHeight w:val="285"/>
        </w:trPr>
        <w:tc>
          <w:tcPr>
            <w:tcW w:w="4794" w:type="dxa"/>
            <w:tcBorders>
              <w:top w:val="single" w:sz="4" w:space="0" w:color="auto"/>
              <w:left w:val="nil"/>
              <w:bottom w:val="nil"/>
              <w:right w:val="nil"/>
            </w:tcBorders>
          </w:tcPr>
          <w:p w14:paraId="16F9E78A" w14:textId="0995B86E" w:rsidR="771FD6CC" w:rsidRDefault="771FD6CC" w:rsidP="00484A33">
            <w:pPr>
              <w:spacing w:line="276" w:lineRule="auto"/>
            </w:pPr>
          </w:p>
        </w:tc>
        <w:tc>
          <w:tcPr>
            <w:tcW w:w="4221" w:type="dxa"/>
            <w:tcBorders>
              <w:top w:val="single" w:sz="4" w:space="0" w:color="auto"/>
              <w:left w:val="nil"/>
              <w:bottom w:val="nil"/>
              <w:right w:val="nil"/>
            </w:tcBorders>
          </w:tcPr>
          <w:p w14:paraId="2E12716A" w14:textId="551888D0" w:rsidR="771FD6CC" w:rsidRDefault="771FD6CC" w:rsidP="00484A33">
            <w:pPr>
              <w:spacing w:line="276" w:lineRule="auto"/>
            </w:pPr>
          </w:p>
        </w:tc>
      </w:tr>
      <w:tr w:rsidR="771FD6CC" w14:paraId="31BD0BA4" w14:textId="77777777" w:rsidTr="00364CE3">
        <w:trPr>
          <w:trHeight w:val="285"/>
        </w:trPr>
        <w:tc>
          <w:tcPr>
            <w:tcW w:w="4794" w:type="dxa"/>
            <w:tcBorders>
              <w:top w:val="single" w:sz="4" w:space="0" w:color="auto"/>
              <w:left w:val="single" w:sz="4" w:space="0" w:color="auto"/>
              <w:bottom w:val="single" w:sz="4" w:space="0" w:color="auto"/>
              <w:right w:val="single" w:sz="4" w:space="0" w:color="auto"/>
            </w:tcBorders>
            <w:shd w:val="clear" w:color="auto" w:fill="A9D08E"/>
          </w:tcPr>
          <w:p w14:paraId="727A12B9" w14:textId="3271903B" w:rsidR="771FD6CC" w:rsidRDefault="771FD6CC" w:rsidP="00484A33">
            <w:pPr>
              <w:spacing w:line="276" w:lineRule="auto"/>
            </w:pPr>
            <w:r w:rsidRPr="771FD6CC">
              <w:rPr>
                <w:rFonts w:ascii="Calibri" w:eastAsia="Calibri" w:hAnsi="Calibri" w:cs="Calibri"/>
                <w:b/>
                <w:bCs/>
                <w:color w:val="000000" w:themeColor="text1"/>
                <w:sz w:val="20"/>
                <w:szCs w:val="20"/>
              </w:rPr>
              <w:t>SDG 12: Säkerställa hållbara konsumtions- och produktionsmönster</w:t>
            </w:r>
          </w:p>
        </w:tc>
        <w:tc>
          <w:tcPr>
            <w:tcW w:w="4221" w:type="dxa"/>
            <w:tcBorders>
              <w:top w:val="single" w:sz="4" w:space="0" w:color="auto"/>
              <w:left w:val="single" w:sz="4" w:space="0" w:color="auto"/>
              <w:bottom w:val="single" w:sz="4" w:space="0" w:color="auto"/>
              <w:right w:val="single" w:sz="4" w:space="0" w:color="auto"/>
            </w:tcBorders>
            <w:shd w:val="clear" w:color="auto" w:fill="A9D08E"/>
          </w:tcPr>
          <w:p w14:paraId="0E5D8D2A" w14:textId="4B941C3A"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033A414E" w14:textId="77777777" w:rsidTr="00364CE3">
        <w:trPr>
          <w:trHeight w:val="525"/>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71664A54" w14:textId="77CCC1C8" w:rsidR="771FD6CC" w:rsidRDefault="771FD6CC" w:rsidP="00484A33">
            <w:pPr>
              <w:spacing w:line="276" w:lineRule="auto"/>
            </w:pPr>
            <w:r w:rsidRPr="771FD6CC">
              <w:rPr>
                <w:rFonts w:ascii="Calibri" w:eastAsia="Calibri" w:hAnsi="Calibri" w:cs="Calibri"/>
                <w:color w:val="000000" w:themeColor="text1"/>
                <w:sz w:val="20"/>
                <w:szCs w:val="20"/>
              </w:rPr>
              <w:t>12.5 Till 2030 väsentligt minska mängden avfall genom åtgärder för att förebygga, minska, återanvända och återvinna avfall.</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3527F606" w14:textId="4F5221BD"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3BB03C12" w14:textId="77777777" w:rsidTr="00364CE3">
        <w:trPr>
          <w:trHeight w:val="780"/>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58441961" w14:textId="3C1ED5F4" w:rsidR="771FD6CC" w:rsidRDefault="771FD6CC" w:rsidP="00484A33">
            <w:pPr>
              <w:spacing w:line="276" w:lineRule="auto"/>
            </w:pPr>
            <w:r w:rsidRPr="771FD6CC">
              <w:rPr>
                <w:rFonts w:ascii="Calibri" w:eastAsia="Calibri" w:hAnsi="Calibri" w:cs="Calibri"/>
                <w:color w:val="000000" w:themeColor="text1"/>
                <w:sz w:val="20"/>
                <w:szCs w:val="20"/>
              </w:rPr>
              <w:t>12.6 Uppmuntra företag, särskilt stora och multinationella företag, att införa hållbara metoder och att integrera hållbarhetsinformation i sin rapporteringscykel.</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6326A12B" w14:textId="36A6C03A"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33CAB717" w14:textId="77777777" w:rsidTr="00364CE3">
        <w:trPr>
          <w:trHeight w:val="525"/>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3641B533" w14:textId="1C047D4E" w:rsidR="771FD6CC" w:rsidRDefault="771FD6CC" w:rsidP="00484A33">
            <w:pPr>
              <w:spacing w:line="276" w:lineRule="auto"/>
            </w:pPr>
            <w:r w:rsidRPr="771FD6CC">
              <w:rPr>
                <w:rFonts w:ascii="Calibri" w:eastAsia="Calibri" w:hAnsi="Calibri" w:cs="Calibri"/>
                <w:color w:val="000000" w:themeColor="text1"/>
                <w:sz w:val="20"/>
                <w:szCs w:val="20"/>
              </w:rPr>
              <w:t>12.7 Främja hållbara offentliga upphandlingsmetoder, i enlighet med nationell politik och nationella prioriteringar.</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40C444EA" w14:textId="7B1429FA"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15C60D3C" w14:textId="77777777" w:rsidTr="00364CE3">
        <w:trPr>
          <w:trHeight w:val="780"/>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3E885421" w14:textId="0F90E92C" w:rsidR="771FD6CC" w:rsidRDefault="771FD6CC" w:rsidP="00484A33">
            <w:pPr>
              <w:spacing w:line="276" w:lineRule="auto"/>
            </w:pPr>
            <w:r w:rsidRPr="771FD6CC">
              <w:rPr>
                <w:rFonts w:ascii="Calibri" w:eastAsia="Calibri" w:hAnsi="Calibri" w:cs="Calibri"/>
                <w:color w:val="000000" w:themeColor="text1"/>
                <w:sz w:val="20"/>
                <w:szCs w:val="20"/>
              </w:rPr>
              <w:t>12.b Utveckla och genomföra verktyg för att övervaka hur en hållbar utveckling påverkar en hållbar turism som skapar arbetstillfällen och främjar lokal kultur och lokala produkter.</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59B09F14" w14:textId="6584CBE7"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3F5A5733" w14:textId="77777777" w:rsidTr="00364CE3">
        <w:trPr>
          <w:trHeight w:val="285"/>
        </w:trPr>
        <w:tc>
          <w:tcPr>
            <w:tcW w:w="4794" w:type="dxa"/>
            <w:tcBorders>
              <w:top w:val="single" w:sz="4" w:space="0" w:color="auto"/>
              <w:left w:val="nil"/>
              <w:bottom w:val="nil"/>
              <w:right w:val="nil"/>
            </w:tcBorders>
          </w:tcPr>
          <w:p w14:paraId="44677112" w14:textId="59BF2449" w:rsidR="771FD6CC" w:rsidRDefault="771FD6CC" w:rsidP="00484A33">
            <w:pPr>
              <w:spacing w:line="276" w:lineRule="auto"/>
            </w:pPr>
          </w:p>
        </w:tc>
        <w:tc>
          <w:tcPr>
            <w:tcW w:w="4221" w:type="dxa"/>
            <w:tcBorders>
              <w:top w:val="single" w:sz="4" w:space="0" w:color="auto"/>
              <w:left w:val="nil"/>
              <w:bottom w:val="nil"/>
              <w:right w:val="nil"/>
            </w:tcBorders>
          </w:tcPr>
          <w:p w14:paraId="27A7F828" w14:textId="47459E1A" w:rsidR="771FD6CC" w:rsidRDefault="771FD6CC" w:rsidP="00484A33">
            <w:pPr>
              <w:spacing w:line="276" w:lineRule="auto"/>
            </w:pPr>
          </w:p>
        </w:tc>
      </w:tr>
      <w:tr w:rsidR="771FD6CC" w14:paraId="7034CBB5" w14:textId="77777777" w:rsidTr="00364CE3">
        <w:trPr>
          <w:trHeight w:val="525"/>
        </w:trPr>
        <w:tc>
          <w:tcPr>
            <w:tcW w:w="4794" w:type="dxa"/>
            <w:tcBorders>
              <w:top w:val="single" w:sz="4" w:space="0" w:color="auto"/>
              <w:left w:val="single" w:sz="4" w:space="0" w:color="auto"/>
              <w:bottom w:val="single" w:sz="4" w:space="0" w:color="auto"/>
              <w:right w:val="single" w:sz="4" w:space="0" w:color="auto"/>
            </w:tcBorders>
            <w:shd w:val="clear" w:color="auto" w:fill="A9D08E"/>
          </w:tcPr>
          <w:p w14:paraId="6FABEEC8" w14:textId="4EE45391" w:rsidR="771FD6CC" w:rsidRDefault="771FD6CC" w:rsidP="00484A33">
            <w:pPr>
              <w:spacing w:line="276" w:lineRule="auto"/>
            </w:pPr>
            <w:r w:rsidRPr="771FD6CC">
              <w:rPr>
                <w:rFonts w:ascii="Calibri" w:eastAsia="Calibri" w:hAnsi="Calibri" w:cs="Calibri"/>
                <w:b/>
                <w:bCs/>
                <w:color w:val="000000" w:themeColor="text1"/>
                <w:sz w:val="20"/>
                <w:szCs w:val="20"/>
              </w:rPr>
              <w:t>SDG 17: Stärka genomförandemedlen och återvitalisera det globala partnerskapet för hållbar utveckling</w:t>
            </w:r>
          </w:p>
        </w:tc>
        <w:tc>
          <w:tcPr>
            <w:tcW w:w="4221" w:type="dxa"/>
            <w:tcBorders>
              <w:top w:val="single" w:sz="4" w:space="0" w:color="auto"/>
              <w:left w:val="single" w:sz="4" w:space="0" w:color="auto"/>
              <w:bottom w:val="single" w:sz="4" w:space="0" w:color="auto"/>
              <w:right w:val="single" w:sz="4" w:space="0" w:color="auto"/>
            </w:tcBorders>
            <w:shd w:val="clear" w:color="auto" w:fill="A9D08E"/>
          </w:tcPr>
          <w:p w14:paraId="2A8DE7B6" w14:textId="04109078"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0765F391" w14:textId="77777777" w:rsidTr="00364CE3">
        <w:trPr>
          <w:trHeight w:val="1035"/>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6F8BABEC" w14:textId="679A6091" w:rsidR="771FD6CC" w:rsidRDefault="771FD6CC" w:rsidP="00484A33">
            <w:pPr>
              <w:spacing w:line="276" w:lineRule="auto"/>
            </w:pPr>
            <w:r w:rsidRPr="771FD6CC">
              <w:rPr>
                <w:rFonts w:ascii="Calibri" w:eastAsia="Calibri" w:hAnsi="Calibri" w:cs="Calibri"/>
                <w:color w:val="000000" w:themeColor="text1"/>
                <w:sz w:val="20"/>
                <w:szCs w:val="20"/>
              </w:rPr>
              <w:t>17.16 Stärka det globala partnerskapet för hållbar utveckling och komplettera det med partnerskap mellan flera parter som mobiliserar och utbyter kunskap, expertis, teknik och finansiella resurser, för att bidra till att målen för hållbar utveckling nås i alla länder, i synnerhet utvecklingsländer.</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4A7FA6D2" w14:textId="15AE2514"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2B5CB2B8" w14:textId="77777777" w:rsidTr="00364CE3">
        <w:trPr>
          <w:trHeight w:val="780"/>
        </w:trPr>
        <w:tc>
          <w:tcPr>
            <w:tcW w:w="4794" w:type="dxa"/>
            <w:tcBorders>
              <w:top w:val="single" w:sz="4" w:space="0" w:color="auto"/>
              <w:left w:val="single" w:sz="4" w:space="0" w:color="auto"/>
              <w:bottom w:val="single" w:sz="4" w:space="0" w:color="auto"/>
              <w:right w:val="single" w:sz="4" w:space="0" w:color="auto"/>
            </w:tcBorders>
            <w:shd w:val="clear" w:color="auto" w:fill="E2EFDA"/>
          </w:tcPr>
          <w:p w14:paraId="7136A9E6" w14:textId="642452E4" w:rsidR="771FD6CC" w:rsidRDefault="771FD6CC" w:rsidP="00484A33">
            <w:pPr>
              <w:spacing w:line="276" w:lineRule="auto"/>
            </w:pPr>
            <w:r w:rsidRPr="771FD6CC">
              <w:rPr>
                <w:rFonts w:ascii="Calibri" w:eastAsia="Calibri" w:hAnsi="Calibri" w:cs="Calibri"/>
                <w:color w:val="000000" w:themeColor="text1"/>
                <w:sz w:val="20"/>
                <w:szCs w:val="20"/>
              </w:rPr>
              <w:t>17.17 Uppmuntra och främja effektiva offentliga och offentlig-privata partnerskap samt partnerskap inom det civila samhället vilka bygger på erfarenheterna från andra partnerskap och deras finansieringsstrategier.</w:t>
            </w:r>
          </w:p>
        </w:tc>
        <w:tc>
          <w:tcPr>
            <w:tcW w:w="4221" w:type="dxa"/>
            <w:tcBorders>
              <w:top w:val="single" w:sz="4" w:space="0" w:color="auto"/>
              <w:left w:val="single" w:sz="4" w:space="0" w:color="auto"/>
              <w:bottom w:val="single" w:sz="4" w:space="0" w:color="auto"/>
              <w:right w:val="single" w:sz="4" w:space="0" w:color="auto"/>
            </w:tcBorders>
            <w:shd w:val="clear" w:color="auto" w:fill="E2EFDA"/>
          </w:tcPr>
          <w:p w14:paraId="4B86BBC5" w14:textId="542DE952" w:rsidR="771FD6CC" w:rsidRDefault="771FD6CC" w:rsidP="00484A33">
            <w:pPr>
              <w:spacing w:line="276" w:lineRule="auto"/>
            </w:pPr>
            <w:r w:rsidRPr="771FD6CC">
              <w:rPr>
                <w:rFonts w:ascii="Calibri" w:eastAsia="Calibri" w:hAnsi="Calibri" w:cs="Calibri"/>
                <w:b/>
                <w:bCs/>
                <w:color w:val="000000" w:themeColor="text1"/>
                <w:sz w:val="20"/>
                <w:szCs w:val="20"/>
              </w:rPr>
              <w:t>direkt</w:t>
            </w:r>
          </w:p>
        </w:tc>
      </w:tr>
      <w:tr w:rsidR="771FD6CC" w14:paraId="12F7177E" w14:textId="77777777" w:rsidTr="00364CE3">
        <w:trPr>
          <w:trHeight w:val="285"/>
        </w:trPr>
        <w:tc>
          <w:tcPr>
            <w:tcW w:w="4794" w:type="dxa"/>
            <w:tcBorders>
              <w:top w:val="single" w:sz="4" w:space="0" w:color="auto"/>
              <w:left w:val="nil"/>
              <w:bottom w:val="nil"/>
              <w:right w:val="nil"/>
            </w:tcBorders>
          </w:tcPr>
          <w:p w14:paraId="390C6DB5" w14:textId="00F48CE6" w:rsidR="771FD6CC" w:rsidRDefault="771FD6CC" w:rsidP="00484A33">
            <w:pPr>
              <w:spacing w:line="276" w:lineRule="auto"/>
            </w:pPr>
          </w:p>
        </w:tc>
        <w:tc>
          <w:tcPr>
            <w:tcW w:w="4221" w:type="dxa"/>
            <w:tcBorders>
              <w:top w:val="single" w:sz="4" w:space="0" w:color="auto"/>
              <w:left w:val="nil"/>
              <w:bottom w:val="nil"/>
              <w:right w:val="nil"/>
            </w:tcBorders>
          </w:tcPr>
          <w:p w14:paraId="405D5EBD" w14:textId="30CFF3DD" w:rsidR="771FD6CC" w:rsidRDefault="771FD6CC" w:rsidP="00484A33">
            <w:pPr>
              <w:spacing w:line="276" w:lineRule="auto"/>
            </w:pPr>
          </w:p>
        </w:tc>
      </w:tr>
      <w:tr w:rsidR="771FD6CC" w14:paraId="63204FB5" w14:textId="77777777" w:rsidTr="00364CE3">
        <w:trPr>
          <w:trHeight w:val="285"/>
        </w:trPr>
        <w:tc>
          <w:tcPr>
            <w:tcW w:w="4794" w:type="dxa"/>
            <w:tcBorders>
              <w:top w:val="nil"/>
              <w:left w:val="nil"/>
              <w:bottom w:val="nil"/>
              <w:right w:val="nil"/>
            </w:tcBorders>
          </w:tcPr>
          <w:p w14:paraId="09476EF6" w14:textId="7CF5AD6D" w:rsidR="771FD6CC" w:rsidRDefault="771FD6CC" w:rsidP="00484A33">
            <w:pPr>
              <w:spacing w:line="276" w:lineRule="auto"/>
            </w:pPr>
          </w:p>
        </w:tc>
        <w:tc>
          <w:tcPr>
            <w:tcW w:w="4221" w:type="dxa"/>
            <w:tcBorders>
              <w:top w:val="nil"/>
              <w:left w:val="nil"/>
              <w:bottom w:val="nil"/>
              <w:right w:val="nil"/>
            </w:tcBorders>
          </w:tcPr>
          <w:p w14:paraId="4F0ED096" w14:textId="1935AA5F" w:rsidR="771FD6CC" w:rsidRDefault="771FD6CC" w:rsidP="00484A33">
            <w:pPr>
              <w:spacing w:line="276" w:lineRule="auto"/>
            </w:pPr>
          </w:p>
        </w:tc>
      </w:tr>
      <w:tr w:rsidR="771FD6CC" w14:paraId="181D91D4" w14:textId="77777777" w:rsidTr="00364CE3">
        <w:trPr>
          <w:trHeight w:val="285"/>
        </w:trPr>
        <w:tc>
          <w:tcPr>
            <w:tcW w:w="47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30D0FB" w14:textId="03A5797E" w:rsidR="771FD6CC" w:rsidRDefault="771FD6CC" w:rsidP="00484A33">
            <w:pPr>
              <w:spacing w:line="276" w:lineRule="auto"/>
            </w:pPr>
            <w:r w:rsidRPr="771FD6CC">
              <w:rPr>
                <w:rFonts w:ascii="Calibri" w:eastAsia="Calibri" w:hAnsi="Calibri" w:cs="Calibri"/>
                <w:b/>
                <w:bCs/>
                <w:color w:val="000000" w:themeColor="text1"/>
                <w:sz w:val="20"/>
                <w:szCs w:val="20"/>
              </w:rPr>
              <w:t>SDG 5: Uppnå jämställdhet och alla kvinnors och flickors egenmakt</w:t>
            </w:r>
          </w:p>
        </w:tc>
        <w:tc>
          <w:tcPr>
            <w:tcW w:w="422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0AF5E1" w14:textId="2C25515D" w:rsidR="771FD6CC" w:rsidRDefault="771FD6CC" w:rsidP="00484A33">
            <w:pPr>
              <w:spacing w:line="276" w:lineRule="auto"/>
            </w:pPr>
            <w:r w:rsidRPr="771FD6CC">
              <w:rPr>
                <w:rFonts w:ascii="Calibri" w:eastAsia="Calibri" w:hAnsi="Calibri" w:cs="Calibri"/>
                <w:color w:val="000000" w:themeColor="text1"/>
                <w:sz w:val="20"/>
                <w:szCs w:val="20"/>
              </w:rPr>
              <w:t>Indirekt</w:t>
            </w:r>
          </w:p>
        </w:tc>
      </w:tr>
      <w:tr w:rsidR="771FD6CC" w14:paraId="7367A910" w14:textId="77777777" w:rsidTr="00364CE3">
        <w:trPr>
          <w:trHeight w:val="780"/>
        </w:trPr>
        <w:tc>
          <w:tcPr>
            <w:tcW w:w="4794" w:type="dxa"/>
            <w:tcBorders>
              <w:top w:val="single" w:sz="4" w:space="0" w:color="auto"/>
              <w:left w:val="single" w:sz="4" w:space="0" w:color="auto"/>
              <w:bottom w:val="single" w:sz="4" w:space="0" w:color="auto"/>
              <w:right w:val="single" w:sz="4" w:space="0" w:color="auto"/>
            </w:tcBorders>
            <w:shd w:val="clear" w:color="auto" w:fill="D9E1F2"/>
          </w:tcPr>
          <w:p w14:paraId="39B61AE9" w14:textId="3BF54082" w:rsidR="771FD6CC" w:rsidRDefault="771FD6CC" w:rsidP="00484A33">
            <w:pPr>
              <w:spacing w:line="276" w:lineRule="auto"/>
            </w:pPr>
            <w:r w:rsidRPr="771FD6CC">
              <w:rPr>
                <w:rFonts w:ascii="Calibri" w:eastAsia="Calibri" w:hAnsi="Calibri" w:cs="Calibri"/>
                <w:color w:val="000000" w:themeColor="text1"/>
                <w:sz w:val="20"/>
                <w:szCs w:val="20"/>
              </w:rPr>
              <w:t>5.2 Avskaffa alla former av våld mot alla kvinnor och flickor i det offentliga och privata rummet, inklusive människohandel, sexuellt utnyttjande och andra typer av exploatering</w:t>
            </w:r>
          </w:p>
        </w:tc>
        <w:tc>
          <w:tcPr>
            <w:tcW w:w="4221" w:type="dxa"/>
            <w:tcBorders>
              <w:top w:val="single" w:sz="4" w:space="0" w:color="auto"/>
              <w:left w:val="single" w:sz="4" w:space="0" w:color="auto"/>
              <w:bottom w:val="single" w:sz="4" w:space="0" w:color="auto"/>
              <w:right w:val="single" w:sz="4" w:space="0" w:color="auto"/>
            </w:tcBorders>
            <w:shd w:val="clear" w:color="auto" w:fill="D9E1F2"/>
          </w:tcPr>
          <w:p w14:paraId="4708D76E" w14:textId="60C15201" w:rsidR="771FD6CC" w:rsidRDefault="771FD6CC" w:rsidP="00484A33">
            <w:pPr>
              <w:spacing w:line="276" w:lineRule="auto"/>
            </w:pPr>
            <w:r w:rsidRPr="771FD6CC">
              <w:rPr>
                <w:rFonts w:ascii="Calibri" w:eastAsia="Calibri" w:hAnsi="Calibri" w:cs="Calibri"/>
                <w:color w:val="000000" w:themeColor="text1"/>
                <w:sz w:val="20"/>
                <w:szCs w:val="20"/>
              </w:rPr>
              <w:t>Indirekt</w:t>
            </w:r>
          </w:p>
        </w:tc>
      </w:tr>
      <w:tr w:rsidR="771FD6CC" w14:paraId="7457BD01" w14:textId="77777777" w:rsidTr="00364CE3">
        <w:trPr>
          <w:trHeight w:val="285"/>
        </w:trPr>
        <w:tc>
          <w:tcPr>
            <w:tcW w:w="4794" w:type="dxa"/>
            <w:tcBorders>
              <w:top w:val="single" w:sz="4" w:space="0" w:color="auto"/>
              <w:left w:val="nil"/>
              <w:bottom w:val="nil"/>
              <w:right w:val="nil"/>
            </w:tcBorders>
          </w:tcPr>
          <w:p w14:paraId="3349B4F4" w14:textId="6DCA2D52" w:rsidR="771FD6CC" w:rsidRDefault="771FD6CC" w:rsidP="00484A33">
            <w:pPr>
              <w:spacing w:line="276" w:lineRule="auto"/>
            </w:pPr>
          </w:p>
        </w:tc>
        <w:tc>
          <w:tcPr>
            <w:tcW w:w="4221" w:type="dxa"/>
            <w:tcBorders>
              <w:top w:val="single" w:sz="4" w:space="0" w:color="auto"/>
              <w:left w:val="nil"/>
              <w:bottom w:val="nil"/>
              <w:right w:val="nil"/>
            </w:tcBorders>
          </w:tcPr>
          <w:p w14:paraId="40B71616" w14:textId="321D53AA" w:rsidR="771FD6CC" w:rsidRDefault="771FD6CC" w:rsidP="00484A33">
            <w:pPr>
              <w:spacing w:line="276" w:lineRule="auto"/>
            </w:pPr>
          </w:p>
        </w:tc>
      </w:tr>
      <w:tr w:rsidR="771FD6CC" w14:paraId="40AE2F0C" w14:textId="77777777" w:rsidTr="00364CE3">
        <w:trPr>
          <w:trHeight w:val="285"/>
        </w:trPr>
        <w:tc>
          <w:tcPr>
            <w:tcW w:w="47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4EC45F" w14:textId="28EBCB98" w:rsidR="771FD6CC" w:rsidRDefault="771FD6CC" w:rsidP="00484A33">
            <w:pPr>
              <w:spacing w:line="276" w:lineRule="auto"/>
            </w:pPr>
            <w:r w:rsidRPr="771FD6CC">
              <w:rPr>
                <w:rFonts w:ascii="Calibri" w:eastAsia="Calibri" w:hAnsi="Calibri" w:cs="Calibri"/>
                <w:b/>
                <w:bCs/>
                <w:color w:val="000000" w:themeColor="text1"/>
                <w:sz w:val="20"/>
                <w:szCs w:val="20"/>
              </w:rPr>
              <w:t>SDG 10: Minska ojämlikheten inom och mellan länder</w:t>
            </w:r>
          </w:p>
        </w:tc>
        <w:tc>
          <w:tcPr>
            <w:tcW w:w="422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E05049" w14:textId="28FB8E20" w:rsidR="771FD6CC" w:rsidRDefault="771FD6CC" w:rsidP="00484A33">
            <w:pPr>
              <w:spacing w:line="276" w:lineRule="auto"/>
            </w:pPr>
            <w:r w:rsidRPr="771FD6CC">
              <w:rPr>
                <w:rFonts w:ascii="Calibri" w:eastAsia="Calibri" w:hAnsi="Calibri" w:cs="Calibri"/>
                <w:color w:val="000000" w:themeColor="text1"/>
                <w:sz w:val="20"/>
                <w:szCs w:val="20"/>
              </w:rPr>
              <w:t>Indirekt</w:t>
            </w:r>
          </w:p>
        </w:tc>
      </w:tr>
      <w:tr w:rsidR="771FD6CC" w14:paraId="15442A44" w14:textId="77777777" w:rsidTr="00364CE3">
        <w:trPr>
          <w:trHeight w:val="780"/>
        </w:trPr>
        <w:tc>
          <w:tcPr>
            <w:tcW w:w="4794" w:type="dxa"/>
            <w:tcBorders>
              <w:top w:val="single" w:sz="4" w:space="0" w:color="auto"/>
              <w:left w:val="single" w:sz="4" w:space="0" w:color="auto"/>
              <w:bottom w:val="single" w:sz="4" w:space="0" w:color="auto"/>
              <w:right w:val="single" w:sz="4" w:space="0" w:color="auto"/>
            </w:tcBorders>
            <w:shd w:val="clear" w:color="auto" w:fill="D9E1F2"/>
          </w:tcPr>
          <w:p w14:paraId="591CBC5A" w14:textId="642D05FC" w:rsidR="771FD6CC" w:rsidRDefault="771FD6CC" w:rsidP="00484A33">
            <w:pPr>
              <w:spacing w:line="276" w:lineRule="auto"/>
            </w:pPr>
            <w:r w:rsidRPr="771FD6CC">
              <w:rPr>
                <w:rFonts w:ascii="Calibri" w:eastAsia="Calibri" w:hAnsi="Calibri" w:cs="Calibri"/>
                <w:color w:val="000000" w:themeColor="text1"/>
                <w:sz w:val="20"/>
                <w:szCs w:val="20"/>
              </w:rPr>
              <w:t>10.2 Till 2030 möjliggöra och verka för att alla människor, oavsett ålder, kön, funktionsnedsättning, ras, etnicitet, ursprung, religion eller ekonomisk eller annan ställning, blir inkluderade i det sociala, ekonomiska och politiska livet.</w:t>
            </w:r>
          </w:p>
        </w:tc>
        <w:tc>
          <w:tcPr>
            <w:tcW w:w="4221" w:type="dxa"/>
            <w:tcBorders>
              <w:top w:val="single" w:sz="4" w:space="0" w:color="auto"/>
              <w:left w:val="single" w:sz="4" w:space="0" w:color="auto"/>
              <w:bottom w:val="single" w:sz="4" w:space="0" w:color="auto"/>
              <w:right w:val="single" w:sz="4" w:space="0" w:color="auto"/>
            </w:tcBorders>
            <w:shd w:val="clear" w:color="auto" w:fill="D9E1F2"/>
          </w:tcPr>
          <w:p w14:paraId="49C42B46" w14:textId="129101E0" w:rsidR="771FD6CC" w:rsidRDefault="771FD6CC" w:rsidP="00484A33">
            <w:pPr>
              <w:spacing w:line="276" w:lineRule="auto"/>
            </w:pPr>
            <w:r w:rsidRPr="771FD6CC">
              <w:rPr>
                <w:rFonts w:ascii="Calibri" w:eastAsia="Calibri" w:hAnsi="Calibri" w:cs="Calibri"/>
                <w:color w:val="000000" w:themeColor="text1"/>
                <w:sz w:val="20"/>
                <w:szCs w:val="20"/>
              </w:rPr>
              <w:t>Indirekt</w:t>
            </w:r>
          </w:p>
        </w:tc>
      </w:tr>
      <w:tr w:rsidR="771FD6CC" w14:paraId="0088A5AB" w14:textId="77777777" w:rsidTr="00364CE3">
        <w:trPr>
          <w:trHeight w:val="285"/>
        </w:trPr>
        <w:tc>
          <w:tcPr>
            <w:tcW w:w="4794" w:type="dxa"/>
            <w:tcBorders>
              <w:top w:val="single" w:sz="4" w:space="0" w:color="auto"/>
              <w:left w:val="nil"/>
              <w:bottom w:val="nil"/>
              <w:right w:val="nil"/>
            </w:tcBorders>
          </w:tcPr>
          <w:p w14:paraId="5CEE47D8" w14:textId="791ADBEE" w:rsidR="771FD6CC" w:rsidRDefault="771FD6CC" w:rsidP="00484A33">
            <w:pPr>
              <w:spacing w:line="276" w:lineRule="auto"/>
            </w:pPr>
          </w:p>
        </w:tc>
        <w:tc>
          <w:tcPr>
            <w:tcW w:w="4221" w:type="dxa"/>
            <w:tcBorders>
              <w:top w:val="single" w:sz="4" w:space="0" w:color="auto"/>
              <w:left w:val="nil"/>
              <w:bottom w:val="nil"/>
              <w:right w:val="nil"/>
            </w:tcBorders>
          </w:tcPr>
          <w:p w14:paraId="55AC2C44" w14:textId="12B1B494" w:rsidR="771FD6CC" w:rsidRDefault="771FD6CC" w:rsidP="00484A33">
            <w:pPr>
              <w:spacing w:line="276" w:lineRule="auto"/>
            </w:pPr>
          </w:p>
        </w:tc>
      </w:tr>
      <w:tr w:rsidR="771FD6CC" w14:paraId="28FF1A7B" w14:textId="77777777" w:rsidTr="00364CE3">
        <w:trPr>
          <w:trHeight w:val="525"/>
        </w:trPr>
        <w:tc>
          <w:tcPr>
            <w:tcW w:w="47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04E64" w14:textId="7BD89A70" w:rsidR="771FD6CC" w:rsidRDefault="771FD6CC" w:rsidP="00484A33">
            <w:pPr>
              <w:spacing w:line="276" w:lineRule="auto"/>
            </w:pPr>
            <w:r w:rsidRPr="771FD6CC">
              <w:rPr>
                <w:rFonts w:ascii="Calibri" w:eastAsia="Calibri" w:hAnsi="Calibri" w:cs="Calibri"/>
                <w:b/>
                <w:bCs/>
                <w:color w:val="000000" w:themeColor="text1"/>
                <w:sz w:val="20"/>
                <w:szCs w:val="20"/>
              </w:rPr>
              <w:t>SDG 13: Vidta omedelbara åtgärder för att bekämpa klimatförändringarna och dess konsekvenser</w:t>
            </w:r>
          </w:p>
        </w:tc>
        <w:tc>
          <w:tcPr>
            <w:tcW w:w="422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FC6F1B" w14:textId="395017E7" w:rsidR="771FD6CC" w:rsidRDefault="771FD6CC" w:rsidP="00484A33">
            <w:pPr>
              <w:spacing w:line="276" w:lineRule="auto"/>
            </w:pPr>
            <w:r w:rsidRPr="771FD6CC">
              <w:rPr>
                <w:rFonts w:ascii="Calibri" w:eastAsia="Calibri" w:hAnsi="Calibri" w:cs="Calibri"/>
                <w:color w:val="000000" w:themeColor="text1"/>
                <w:sz w:val="20"/>
                <w:szCs w:val="20"/>
              </w:rPr>
              <w:t>Indirekt</w:t>
            </w:r>
          </w:p>
        </w:tc>
      </w:tr>
      <w:tr w:rsidR="771FD6CC" w14:paraId="6588259C" w14:textId="77777777" w:rsidTr="00364CE3">
        <w:trPr>
          <w:trHeight w:val="525"/>
        </w:trPr>
        <w:tc>
          <w:tcPr>
            <w:tcW w:w="4794" w:type="dxa"/>
            <w:tcBorders>
              <w:top w:val="single" w:sz="4" w:space="0" w:color="auto"/>
              <w:left w:val="single" w:sz="4" w:space="0" w:color="auto"/>
              <w:bottom w:val="single" w:sz="4" w:space="0" w:color="auto"/>
              <w:right w:val="single" w:sz="4" w:space="0" w:color="auto"/>
            </w:tcBorders>
            <w:shd w:val="clear" w:color="auto" w:fill="D9E1F2"/>
          </w:tcPr>
          <w:p w14:paraId="5B79C8F2" w14:textId="1C65A46C" w:rsidR="771FD6CC" w:rsidRDefault="771FD6CC" w:rsidP="00484A33">
            <w:pPr>
              <w:spacing w:line="276" w:lineRule="auto"/>
            </w:pPr>
            <w:r w:rsidRPr="771FD6CC">
              <w:rPr>
                <w:rFonts w:ascii="Calibri" w:eastAsia="Calibri" w:hAnsi="Calibri" w:cs="Calibri"/>
                <w:color w:val="000000" w:themeColor="text1"/>
                <w:sz w:val="20"/>
                <w:szCs w:val="20"/>
              </w:rPr>
              <w:t>13.2 Integrera klimatåtgärder i politik, strategier och planering på nationell nivå.</w:t>
            </w:r>
          </w:p>
        </w:tc>
        <w:tc>
          <w:tcPr>
            <w:tcW w:w="4221" w:type="dxa"/>
            <w:tcBorders>
              <w:top w:val="single" w:sz="4" w:space="0" w:color="auto"/>
              <w:left w:val="single" w:sz="4" w:space="0" w:color="auto"/>
              <w:bottom w:val="single" w:sz="4" w:space="0" w:color="auto"/>
              <w:right w:val="single" w:sz="4" w:space="0" w:color="auto"/>
            </w:tcBorders>
            <w:shd w:val="clear" w:color="auto" w:fill="D9E1F2"/>
          </w:tcPr>
          <w:p w14:paraId="7B81A813" w14:textId="3BC32B61" w:rsidR="771FD6CC" w:rsidRDefault="771FD6CC" w:rsidP="00484A33">
            <w:pPr>
              <w:spacing w:line="276" w:lineRule="auto"/>
            </w:pPr>
            <w:r w:rsidRPr="771FD6CC">
              <w:rPr>
                <w:rFonts w:ascii="Calibri" w:eastAsia="Calibri" w:hAnsi="Calibri" w:cs="Calibri"/>
                <w:color w:val="000000" w:themeColor="text1"/>
                <w:sz w:val="20"/>
                <w:szCs w:val="20"/>
              </w:rPr>
              <w:t>Indirekt</w:t>
            </w:r>
          </w:p>
        </w:tc>
      </w:tr>
      <w:tr w:rsidR="771FD6CC" w14:paraId="5C259C22" w14:textId="77777777" w:rsidTr="00364CE3">
        <w:trPr>
          <w:trHeight w:val="285"/>
        </w:trPr>
        <w:tc>
          <w:tcPr>
            <w:tcW w:w="4794" w:type="dxa"/>
            <w:tcBorders>
              <w:top w:val="single" w:sz="4" w:space="0" w:color="auto"/>
              <w:left w:val="nil"/>
              <w:bottom w:val="nil"/>
              <w:right w:val="nil"/>
            </w:tcBorders>
          </w:tcPr>
          <w:p w14:paraId="1753B09E" w14:textId="08B124EC" w:rsidR="771FD6CC" w:rsidRDefault="771FD6CC" w:rsidP="00484A33">
            <w:pPr>
              <w:spacing w:line="276" w:lineRule="auto"/>
            </w:pPr>
          </w:p>
        </w:tc>
        <w:tc>
          <w:tcPr>
            <w:tcW w:w="4221" w:type="dxa"/>
            <w:tcBorders>
              <w:top w:val="single" w:sz="4" w:space="0" w:color="auto"/>
              <w:left w:val="nil"/>
              <w:bottom w:val="nil"/>
              <w:right w:val="nil"/>
            </w:tcBorders>
          </w:tcPr>
          <w:p w14:paraId="6ECD67E2" w14:textId="4B0E2465" w:rsidR="771FD6CC" w:rsidRDefault="771FD6CC" w:rsidP="00484A33">
            <w:pPr>
              <w:spacing w:line="276" w:lineRule="auto"/>
            </w:pPr>
          </w:p>
        </w:tc>
      </w:tr>
      <w:tr w:rsidR="771FD6CC" w14:paraId="5A4CE3C8" w14:textId="77777777" w:rsidTr="00364CE3">
        <w:trPr>
          <w:trHeight w:val="780"/>
        </w:trPr>
        <w:tc>
          <w:tcPr>
            <w:tcW w:w="47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6F2F62" w14:textId="396A15D8" w:rsidR="771FD6CC" w:rsidRDefault="771FD6CC" w:rsidP="00484A33">
            <w:pPr>
              <w:spacing w:line="276" w:lineRule="auto"/>
            </w:pPr>
            <w:r w:rsidRPr="771FD6CC">
              <w:rPr>
                <w:rFonts w:ascii="Calibri" w:eastAsia="Calibri" w:hAnsi="Calibri" w:cs="Calibri"/>
                <w:b/>
                <w:bCs/>
                <w:color w:val="000000" w:themeColor="text1"/>
                <w:sz w:val="20"/>
                <w:szCs w:val="20"/>
              </w:rPr>
              <w:t>SDG 15: Skydda, återställa och främja ett hållbart nyttjande av landbaserade ekosystem, hållbart bruka skogar, bekämpa ökenspridning, hejda och vrida tillbaka markförstöringen samt hejda förlusten av biologisk mångfald</w:t>
            </w:r>
          </w:p>
        </w:tc>
        <w:tc>
          <w:tcPr>
            <w:tcW w:w="422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A53634" w14:textId="41D81B8C" w:rsidR="771FD6CC" w:rsidRDefault="771FD6CC" w:rsidP="00484A33">
            <w:pPr>
              <w:spacing w:line="276" w:lineRule="auto"/>
            </w:pPr>
            <w:r w:rsidRPr="771FD6CC">
              <w:rPr>
                <w:rFonts w:ascii="Calibri" w:eastAsia="Calibri" w:hAnsi="Calibri" w:cs="Calibri"/>
                <w:color w:val="000000" w:themeColor="text1"/>
                <w:sz w:val="20"/>
                <w:szCs w:val="20"/>
              </w:rPr>
              <w:t>indirekt</w:t>
            </w:r>
          </w:p>
        </w:tc>
      </w:tr>
      <w:tr w:rsidR="771FD6CC" w14:paraId="5FA3D2B3" w14:textId="77777777" w:rsidTr="00364CE3">
        <w:trPr>
          <w:trHeight w:val="780"/>
        </w:trPr>
        <w:tc>
          <w:tcPr>
            <w:tcW w:w="4794" w:type="dxa"/>
            <w:tcBorders>
              <w:top w:val="single" w:sz="4" w:space="0" w:color="auto"/>
              <w:left w:val="single" w:sz="4" w:space="0" w:color="auto"/>
              <w:bottom w:val="single" w:sz="4" w:space="0" w:color="auto"/>
              <w:right w:val="single" w:sz="4" w:space="0" w:color="auto"/>
            </w:tcBorders>
            <w:shd w:val="clear" w:color="auto" w:fill="D9E1F2"/>
          </w:tcPr>
          <w:p w14:paraId="790ABE96" w14:textId="165B6FA0" w:rsidR="771FD6CC" w:rsidRDefault="771FD6CC" w:rsidP="00484A33">
            <w:pPr>
              <w:spacing w:line="276" w:lineRule="auto"/>
            </w:pPr>
            <w:r w:rsidRPr="771FD6CC">
              <w:rPr>
                <w:rFonts w:ascii="Calibri" w:eastAsia="Calibri" w:hAnsi="Calibri" w:cs="Calibri"/>
                <w:color w:val="000000" w:themeColor="text1"/>
                <w:sz w:val="20"/>
                <w:szCs w:val="20"/>
              </w:rPr>
              <w:t>15.5 Vidta omedelbara och betydande åtgärder för att minska förstörelsen av naturliga livsmiljöer, hejda förlusten av biologisk mångfald och senast 2020 skydda och förebygga utrotning av hotade arter.</w:t>
            </w:r>
          </w:p>
        </w:tc>
        <w:tc>
          <w:tcPr>
            <w:tcW w:w="4221" w:type="dxa"/>
            <w:tcBorders>
              <w:top w:val="single" w:sz="4" w:space="0" w:color="auto"/>
              <w:left w:val="single" w:sz="4" w:space="0" w:color="auto"/>
              <w:bottom w:val="single" w:sz="4" w:space="0" w:color="auto"/>
              <w:right w:val="single" w:sz="4" w:space="0" w:color="auto"/>
            </w:tcBorders>
            <w:shd w:val="clear" w:color="auto" w:fill="D9E1F2"/>
          </w:tcPr>
          <w:p w14:paraId="2ACFDB70" w14:textId="35E0A5C1" w:rsidR="771FD6CC" w:rsidRDefault="771FD6CC" w:rsidP="00484A33">
            <w:pPr>
              <w:spacing w:line="276" w:lineRule="auto"/>
            </w:pPr>
            <w:r w:rsidRPr="771FD6CC">
              <w:rPr>
                <w:rFonts w:ascii="Calibri" w:eastAsia="Calibri" w:hAnsi="Calibri" w:cs="Calibri"/>
                <w:color w:val="000000" w:themeColor="text1"/>
                <w:sz w:val="20"/>
                <w:szCs w:val="20"/>
              </w:rPr>
              <w:t>indirekt</w:t>
            </w:r>
          </w:p>
        </w:tc>
      </w:tr>
    </w:tbl>
    <w:p w14:paraId="23B881B7" w14:textId="0F1C94EF" w:rsidR="4075A125" w:rsidRDefault="4075A125" w:rsidP="00484A33">
      <w:pPr>
        <w:spacing w:beforeAutospacing="1" w:afterAutospacing="1" w:line="276" w:lineRule="auto"/>
        <w:rPr>
          <w:rStyle w:val="normaltextrun"/>
          <w:rFonts w:ascii="Times New Roman" w:eastAsia="Times New Roman" w:hAnsi="Times New Roman" w:cs="Times New Roman"/>
          <w:i/>
          <w:iCs/>
          <w:color w:val="000000" w:themeColor="text1"/>
          <w:sz w:val="24"/>
          <w:szCs w:val="24"/>
        </w:rPr>
      </w:pPr>
    </w:p>
    <w:p w14:paraId="1BDF5DA9" w14:textId="6C7BA377" w:rsidR="4075A125" w:rsidRDefault="4075A125" w:rsidP="00484A33">
      <w:pPr>
        <w:spacing w:beforeAutospacing="1" w:afterAutospacing="1" w:line="276" w:lineRule="auto"/>
        <w:rPr>
          <w:rStyle w:val="normaltextrun"/>
          <w:rFonts w:ascii="Times New Roman" w:eastAsia="Times New Roman" w:hAnsi="Times New Roman" w:cs="Times New Roman"/>
          <w:i/>
          <w:iCs/>
          <w:color w:val="000000" w:themeColor="text1"/>
          <w:sz w:val="24"/>
          <w:szCs w:val="24"/>
        </w:rPr>
      </w:pPr>
    </w:p>
    <w:p w14:paraId="1ED7BC9B" w14:textId="72C83053" w:rsidR="4075A125" w:rsidRDefault="4075A125" w:rsidP="00484A33">
      <w:pPr>
        <w:spacing w:beforeAutospacing="1" w:afterAutospacing="1" w:line="276" w:lineRule="auto"/>
        <w:rPr>
          <w:rStyle w:val="normaltextrun"/>
          <w:rFonts w:ascii="Times New Roman" w:eastAsia="Times New Roman" w:hAnsi="Times New Roman" w:cs="Times New Roman"/>
          <w:i/>
          <w:iCs/>
          <w:color w:val="000000" w:themeColor="text1"/>
          <w:sz w:val="24"/>
          <w:szCs w:val="24"/>
        </w:rPr>
      </w:pPr>
    </w:p>
    <w:p w14:paraId="62EA7FD0" w14:textId="24ABF2D2" w:rsidR="4075A125" w:rsidRDefault="4075A125" w:rsidP="00484A33">
      <w:pPr>
        <w:spacing w:beforeAutospacing="1" w:afterAutospacing="1" w:line="276" w:lineRule="auto"/>
        <w:rPr>
          <w:rStyle w:val="normaltextrun"/>
          <w:rFonts w:ascii="Times New Roman" w:eastAsia="Times New Roman" w:hAnsi="Times New Roman" w:cs="Times New Roman"/>
          <w:i/>
          <w:iCs/>
          <w:color w:val="000000" w:themeColor="text1"/>
          <w:sz w:val="24"/>
          <w:szCs w:val="24"/>
        </w:rPr>
      </w:pPr>
    </w:p>
    <w:p w14:paraId="619A51DF" w14:textId="5343C087" w:rsidR="4075A125" w:rsidRDefault="4075A125" w:rsidP="00484A33">
      <w:pPr>
        <w:spacing w:beforeAutospacing="1" w:afterAutospacing="1" w:line="276" w:lineRule="auto"/>
        <w:rPr>
          <w:rStyle w:val="normaltextrun"/>
          <w:rFonts w:ascii="Times New Roman" w:eastAsia="Times New Roman" w:hAnsi="Times New Roman" w:cs="Times New Roman"/>
          <w:i/>
          <w:iCs/>
          <w:color w:val="000000" w:themeColor="text1"/>
          <w:sz w:val="24"/>
          <w:szCs w:val="24"/>
        </w:rPr>
      </w:pPr>
    </w:p>
    <w:p w14:paraId="008DBCD3" w14:textId="04152142" w:rsidR="4075A125" w:rsidRDefault="4075A125" w:rsidP="00484A33">
      <w:pPr>
        <w:spacing w:beforeAutospacing="1" w:afterAutospacing="1" w:line="276" w:lineRule="auto"/>
        <w:rPr>
          <w:rStyle w:val="normaltextrun"/>
          <w:rFonts w:ascii="Times New Roman" w:eastAsia="Times New Roman" w:hAnsi="Times New Roman" w:cs="Times New Roman"/>
          <w:i/>
          <w:iCs/>
          <w:color w:val="000000" w:themeColor="text1"/>
          <w:sz w:val="24"/>
          <w:szCs w:val="24"/>
        </w:rPr>
      </w:pPr>
    </w:p>
    <w:p w14:paraId="3DF24242" w14:textId="1122BAD5" w:rsidR="4075A125" w:rsidRDefault="4075A125" w:rsidP="00484A33">
      <w:pPr>
        <w:spacing w:beforeAutospacing="1" w:afterAutospacing="1" w:line="276" w:lineRule="auto"/>
        <w:rPr>
          <w:rStyle w:val="normaltextrun"/>
          <w:rFonts w:ascii="Times New Roman" w:eastAsia="Times New Roman" w:hAnsi="Times New Roman" w:cs="Times New Roman"/>
          <w:i/>
          <w:iCs/>
          <w:color w:val="000000" w:themeColor="text1"/>
          <w:sz w:val="24"/>
          <w:szCs w:val="24"/>
        </w:rPr>
      </w:pPr>
    </w:p>
    <w:p w14:paraId="6C64A95C" w14:textId="3071C75C" w:rsidR="7D0353C0" w:rsidRDefault="7D0353C0" w:rsidP="00484A33">
      <w:pPr>
        <w:spacing w:beforeAutospacing="1" w:afterAutospacing="1" w:line="276" w:lineRule="auto"/>
        <w:rPr>
          <w:rStyle w:val="normaltextrun"/>
          <w:rFonts w:ascii="Times New Roman" w:eastAsia="Times New Roman" w:hAnsi="Times New Roman" w:cs="Times New Roman"/>
          <w:i/>
          <w:iCs/>
          <w:color w:val="000000" w:themeColor="text1"/>
          <w:sz w:val="24"/>
          <w:szCs w:val="24"/>
        </w:rPr>
      </w:pPr>
    </w:p>
    <w:p w14:paraId="6D8A3295" w14:textId="34193C38" w:rsidR="28307528" w:rsidRPr="00326E95" w:rsidRDefault="1FF4F927" w:rsidP="00326E95">
      <w:pPr>
        <w:pStyle w:val="Rubrik2"/>
        <w:rPr>
          <w:rStyle w:val="normaltextrun"/>
        </w:rPr>
      </w:pPr>
      <w:bookmarkStart w:id="5" w:name="_Toc84334726"/>
      <w:r w:rsidRPr="00326E95">
        <w:rPr>
          <w:rStyle w:val="normaltextrun"/>
        </w:rPr>
        <w:lastRenderedPageBreak/>
        <w:t xml:space="preserve">Programmets </w:t>
      </w:r>
      <w:r w:rsidR="28307528" w:rsidRPr="00326E95">
        <w:rPr>
          <w:rStyle w:val="normaltextrun"/>
        </w:rPr>
        <w:t>kopplingar till andra styrande dokument</w:t>
      </w:r>
      <w:bookmarkEnd w:id="5"/>
    </w:p>
    <w:p w14:paraId="516B72CE" w14:textId="69CD12F2" w:rsidR="7D0353C0" w:rsidRDefault="7D0353C0" w:rsidP="00484A33">
      <w:pPr>
        <w:spacing w:beforeAutospacing="1" w:afterAutospacing="1" w:line="276" w:lineRule="auto"/>
        <w:rPr>
          <w:rStyle w:val="normaltextrun"/>
          <w:rFonts w:ascii="Times New Roman" w:eastAsia="Times New Roman" w:hAnsi="Times New Roman" w:cs="Times New Roman"/>
          <w:b/>
          <w:bCs/>
          <w:color w:val="000000" w:themeColor="text1"/>
          <w:sz w:val="28"/>
          <w:szCs w:val="28"/>
        </w:rPr>
      </w:pPr>
    </w:p>
    <w:tbl>
      <w:tblPr>
        <w:tblW w:w="9136" w:type="dxa"/>
        <w:tblLayout w:type="fixed"/>
        <w:tblLook w:val="04A0" w:firstRow="1" w:lastRow="0" w:firstColumn="1" w:lastColumn="0" w:noHBand="0" w:noVBand="1"/>
      </w:tblPr>
      <w:tblGrid>
        <w:gridCol w:w="2018"/>
        <w:gridCol w:w="1440"/>
        <w:gridCol w:w="1065"/>
        <w:gridCol w:w="2798"/>
        <w:gridCol w:w="1815"/>
      </w:tblGrid>
      <w:tr w:rsidR="2D45ABF1" w14:paraId="644DE79F" w14:textId="77777777" w:rsidTr="5349B30D">
        <w:trPr>
          <w:trHeight w:val="300"/>
        </w:trPr>
        <w:tc>
          <w:tcPr>
            <w:tcW w:w="20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D60554" w14:textId="5FBFBD2A" w:rsidR="2D45ABF1" w:rsidRDefault="2D45ABF1" w:rsidP="00484A33">
            <w:pPr>
              <w:spacing w:line="276" w:lineRule="auto"/>
              <w:rPr>
                <w:rFonts w:ascii="Times New Roman" w:eastAsia="Times New Roman" w:hAnsi="Times New Roman" w:cs="Times New Roman"/>
                <w:color w:val="000000" w:themeColor="text1"/>
              </w:rPr>
            </w:pPr>
            <w:r w:rsidRPr="2D45ABF1">
              <w:rPr>
                <w:rFonts w:ascii="Times New Roman" w:eastAsia="Times New Roman" w:hAnsi="Times New Roman" w:cs="Times New Roman"/>
                <w:b/>
                <w:bCs/>
                <w:color w:val="000000" w:themeColor="text1"/>
              </w:rPr>
              <w:t xml:space="preserve">Styrande dokument </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E0DD8D" w14:textId="503CF299" w:rsidR="2D45ABF1" w:rsidRDefault="63EAB74D" w:rsidP="00484A33">
            <w:pPr>
              <w:spacing w:line="276" w:lineRule="auto"/>
              <w:rPr>
                <w:rFonts w:ascii="Times New Roman" w:eastAsia="Times New Roman" w:hAnsi="Times New Roman" w:cs="Times New Roman"/>
                <w:color w:val="000000" w:themeColor="text1"/>
              </w:rPr>
            </w:pPr>
            <w:r w:rsidRPr="5349B30D">
              <w:rPr>
                <w:rFonts w:ascii="Times New Roman" w:eastAsia="Times New Roman" w:hAnsi="Times New Roman" w:cs="Times New Roman"/>
                <w:b/>
                <w:bCs/>
                <w:color w:val="000000" w:themeColor="text1"/>
              </w:rPr>
              <w:t>Fastställare</w:t>
            </w:r>
          </w:p>
        </w:tc>
        <w:tc>
          <w:tcPr>
            <w:tcW w:w="10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29D4A3" w14:textId="6DCEB11A" w:rsidR="2D45ABF1" w:rsidRDefault="2D45ABF1" w:rsidP="00484A33">
            <w:pPr>
              <w:spacing w:line="276" w:lineRule="auto"/>
              <w:rPr>
                <w:rFonts w:ascii="Times New Roman" w:eastAsia="Times New Roman" w:hAnsi="Times New Roman" w:cs="Times New Roman"/>
                <w:color w:val="000000" w:themeColor="text1"/>
              </w:rPr>
            </w:pPr>
            <w:r w:rsidRPr="2D45ABF1">
              <w:rPr>
                <w:rFonts w:ascii="Times New Roman" w:eastAsia="Times New Roman" w:hAnsi="Times New Roman" w:cs="Times New Roman"/>
                <w:b/>
                <w:bCs/>
                <w:color w:val="000000" w:themeColor="text1"/>
              </w:rPr>
              <w:t xml:space="preserve">Giltighet </w:t>
            </w:r>
          </w:p>
        </w:tc>
        <w:tc>
          <w:tcPr>
            <w:tcW w:w="27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9B58A5" w14:textId="6B96DE8C" w:rsidR="2D45ABF1" w:rsidRDefault="63EAB74D" w:rsidP="00484A33">
            <w:pPr>
              <w:spacing w:line="276" w:lineRule="auto"/>
              <w:rPr>
                <w:rFonts w:ascii="Times New Roman" w:eastAsia="Times New Roman" w:hAnsi="Times New Roman" w:cs="Times New Roman"/>
                <w:color w:val="000000" w:themeColor="text1"/>
              </w:rPr>
            </w:pPr>
            <w:r w:rsidRPr="5349B30D">
              <w:rPr>
                <w:rFonts w:ascii="Times New Roman" w:eastAsia="Times New Roman" w:hAnsi="Times New Roman" w:cs="Times New Roman"/>
                <w:b/>
                <w:bCs/>
                <w:color w:val="000000" w:themeColor="text1"/>
              </w:rPr>
              <w:t>Anknytning till program för besöksnäringens utveckling</w:t>
            </w:r>
            <w:r w:rsidR="57586503" w:rsidRPr="5349B30D">
              <w:rPr>
                <w:rFonts w:ascii="Times New Roman" w:eastAsia="Times New Roman" w:hAnsi="Times New Roman" w:cs="Times New Roman"/>
                <w:b/>
                <w:bCs/>
                <w:color w:val="000000" w:themeColor="text1"/>
              </w:rPr>
              <w:t xml:space="preserve"> 2022-2030</w:t>
            </w:r>
          </w:p>
        </w:tc>
        <w:tc>
          <w:tcPr>
            <w:tcW w:w="18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A8F2D" w14:textId="2FEACEFD" w:rsidR="2D45ABF1" w:rsidRDefault="2D45ABF1" w:rsidP="00484A33">
            <w:pPr>
              <w:spacing w:line="276" w:lineRule="auto"/>
              <w:rPr>
                <w:rFonts w:ascii="Times New Roman" w:eastAsia="Times New Roman" w:hAnsi="Times New Roman" w:cs="Times New Roman"/>
                <w:color w:val="000000" w:themeColor="text1"/>
              </w:rPr>
            </w:pPr>
            <w:r w:rsidRPr="2D45ABF1">
              <w:rPr>
                <w:rFonts w:ascii="Times New Roman" w:eastAsia="Times New Roman" w:hAnsi="Times New Roman" w:cs="Times New Roman"/>
                <w:b/>
                <w:bCs/>
                <w:color w:val="000000" w:themeColor="text1"/>
              </w:rPr>
              <w:t>Koppling till strategier i program för besöksnäringens utveckling</w:t>
            </w:r>
          </w:p>
        </w:tc>
      </w:tr>
      <w:tr w:rsidR="2D45ABF1" w14:paraId="053B8F9F" w14:textId="77777777" w:rsidTr="5349B30D">
        <w:trPr>
          <w:trHeight w:val="615"/>
        </w:trPr>
        <w:tc>
          <w:tcPr>
            <w:tcW w:w="2018" w:type="dxa"/>
            <w:tcBorders>
              <w:top w:val="single" w:sz="6" w:space="0" w:color="auto"/>
              <w:left w:val="single" w:sz="6" w:space="0" w:color="auto"/>
              <w:bottom w:val="single" w:sz="6" w:space="0" w:color="auto"/>
              <w:right w:val="single" w:sz="6" w:space="0" w:color="auto"/>
            </w:tcBorders>
          </w:tcPr>
          <w:p w14:paraId="40A42F5F" w14:textId="1180F755"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Style w:val="normaltextrun"/>
                <w:rFonts w:ascii="Times New Roman" w:eastAsia="Times New Roman" w:hAnsi="Times New Roman" w:cs="Times New Roman"/>
                <w:color w:val="000000" w:themeColor="text1"/>
                <w:sz w:val="20"/>
                <w:szCs w:val="20"/>
              </w:rPr>
              <w:t>Göteborgs Stads miljö- och klimatprogram</w:t>
            </w:r>
            <w:r>
              <w:br/>
            </w:r>
          </w:p>
        </w:tc>
        <w:tc>
          <w:tcPr>
            <w:tcW w:w="1440" w:type="dxa"/>
            <w:tcBorders>
              <w:top w:val="single" w:sz="6" w:space="0" w:color="auto"/>
              <w:left w:val="single" w:sz="6" w:space="0" w:color="auto"/>
              <w:bottom w:val="single" w:sz="6" w:space="0" w:color="auto"/>
              <w:right w:val="single" w:sz="6" w:space="0" w:color="auto"/>
            </w:tcBorders>
          </w:tcPr>
          <w:p w14:paraId="007BB0B3" w14:textId="1C89F062"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KF</w:t>
            </w:r>
          </w:p>
        </w:tc>
        <w:tc>
          <w:tcPr>
            <w:tcW w:w="1065" w:type="dxa"/>
            <w:tcBorders>
              <w:top w:val="single" w:sz="6" w:space="0" w:color="auto"/>
              <w:left w:val="single" w:sz="6" w:space="0" w:color="auto"/>
              <w:bottom w:val="single" w:sz="6" w:space="0" w:color="auto"/>
              <w:right w:val="single" w:sz="6" w:space="0" w:color="auto"/>
            </w:tcBorders>
          </w:tcPr>
          <w:p w14:paraId="4DB10A12" w14:textId="57D28AC1" w:rsidR="2D45ABF1" w:rsidRDefault="005F2DB0"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2021–2030</w:t>
            </w:r>
          </w:p>
        </w:tc>
        <w:tc>
          <w:tcPr>
            <w:tcW w:w="2798" w:type="dxa"/>
            <w:tcBorders>
              <w:top w:val="single" w:sz="6" w:space="0" w:color="auto"/>
              <w:left w:val="single" w:sz="6" w:space="0" w:color="auto"/>
              <w:bottom w:val="single" w:sz="6" w:space="0" w:color="auto"/>
              <w:right w:val="single" w:sz="6" w:space="0" w:color="auto"/>
            </w:tcBorders>
          </w:tcPr>
          <w:p w14:paraId="5471A7D7" w14:textId="193AA15E"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Style w:val="normaltextrun"/>
                <w:rFonts w:ascii="Times New Roman" w:eastAsia="Times New Roman" w:hAnsi="Times New Roman" w:cs="Times New Roman"/>
                <w:color w:val="000000" w:themeColor="text1"/>
                <w:sz w:val="20"/>
                <w:szCs w:val="20"/>
              </w:rPr>
              <w:t xml:space="preserve">Tvärgående strategier som inbegriper att driva på utvecklingen av hållbara transporter, utvecklingen av hållbart byggande samt att skapa förutsättningar för att leva hållbart. Strategierna omfattar vidare att agera föregångare, planera för en grön och robust stad och driva på utvecklingen av cirkulär ekonomi.  </w:t>
            </w:r>
          </w:p>
        </w:tc>
        <w:tc>
          <w:tcPr>
            <w:tcW w:w="1815" w:type="dxa"/>
            <w:tcBorders>
              <w:top w:val="single" w:sz="6" w:space="0" w:color="auto"/>
              <w:left w:val="single" w:sz="6" w:space="0" w:color="auto"/>
              <w:bottom w:val="single" w:sz="6" w:space="0" w:color="auto"/>
              <w:right w:val="single" w:sz="6" w:space="0" w:color="auto"/>
            </w:tcBorders>
          </w:tcPr>
          <w:p w14:paraId="6547A284" w14:textId="4A182FDF"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1, 2, 3, 4, 5</w:t>
            </w:r>
          </w:p>
        </w:tc>
      </w:tr>
      <w:tr w:rsidR="2D45ABF1" w14:paraId="12E588E8" w14:textId="77777777" w:rsidTr="5349B30D">
        <w:trPr>
          <w:trHeight w:val="615"/>
        </w:trPr>
        <w:tc>
          <w:tcPr>
            <w:tcW w:w="2018" w:type="dxa"/>
            <w:tcBorders>
              <w:top w:val="single" w:sz="6" w:space="0" w:color="auto"/>
              <w:left w:val="single" w:sz="6" w:space="0" w:color="auto"/>
              <w:bottom w:val="single" w:sz="6" w:space="0" w:color="auto"/>
              <w:right w:val="single" w:sz="6" w:space="0" w:color="auto"/>
            </w:tcBorders>
          </w:tcPr>
          <w:p w14:paraId="6016D684" w14:textId="57E7EBA3"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Göteborgs Stads näringslivsstrategiska program </w:t>
            </w:r>
          </w:p>
        </w:tc>
        <w:tc>
          <w:tcPr>
            <w:tcW w:w="1440" w:type="dxa"/>
            <w:tcBorders>
              <w:top w:val="single" w:sz="6" w:space="0" w:color="auto"/>
              <w:left w:val="single" w:sz="6" w:space="0" w:color="auto"/>
              <w:bottom w:val="single" w:sz="6" w:space="0" w:color="auto"/>
              <w:right w:val="single" w:sz="6" w:space="0" w:color="auto"/>
            </w:tcBorders>
          </w:tcPr>
          <w:p w14:paraId="41213CD9" w14:textId="54CD5114"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KF </w:t>
            </w:r>
          </w:p>
          <w:p w14:paraId="50056FC9" w14:textId="3A954D94" w:rsidR="2D45ABF1" w:rsidRDefault="2D45ABF1" w:rsidP="00484A33">
            <w:pPr>
              <w:spacing w:line="276" w:lineRule="auto"/>
              <w:rPr>
                <w:rFonts w:ascii="Times New Roman" w:eastAsia="Times New Roman" w:hAnsi="Times New Roman" w:cs="Times New Roman"/>
                <w:color w:val="000000" w:themeColor="text1"/>
                <w:sz w:val="20"/>
                <w:szCs w:val="20"/>
              </w:rPr>
            </w:pPr>
          </w:p>
        </w:tc>
        <w:tc>
          <w:tcPr>
            <w:tcW w:w="1065" w:type="dxa"/>
            <w:tcBorders>
              <w:top w:val="single" w:sz="6" w:space="0" w:color="auto"/>
              <w:left w:val="single" w:sz="6" w:space="0" w:color="auto"/>
              <w:bottom w:val="single" w:sz="6" w:space="0" w:color="auto"/>
              <w:right w:val="single" w:sz="6" w:space="0" w:color="auto"/>
            </w:tcBorders>
          </w:tcPr>
          <w:p w14:paraId="587358EA" w14:textId="2C549C86"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2018–2035</w:t>
            </w:r>
          </w:p>
        </w:tc>
        <w:tc>
          <w:tcPr>
            <w:tcW w:w="2798" w:type="dxa"/>
            <w:tcBorders>
              <w:top w:val="single" w:sz="6" w:space="0" w:color="auto"/>
              <w:left w:val="single" w:sz="6" w:space="0" w:color="auto"/>
              <w:bottom w:val="single" w:sz="6" w:space="0" w:color="auto"/>
              <w:right w:val="single" w:sz="6" w:space="0" w:color="auto"/>
            </w:tcBorders>
          </w:tcPr>
          <w:p w14:paraId="64655D9E" w14:textId="6DD8612A"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Syftar till att bedriva en mark- och lokalförsörjning med insikt om näringslivets etablerings- och expansions-behov. Att erbjuda bra lokaler och verksamhetsmark i rätt lägen och att stärka och utveckla strategiska lägen som möter näringslivets behov av tillväxt. Programmet har vidare som fokus att utarbeta en välutvecklad process för att attrahera investeringar och stödja företagsetableringar.  Vidare innefattar dess strategier att stödja omställningen till en smart stad genom att tillvarata digitaliseringens möjligheter. Programmet syftar till att Göteborg ska vara en attraktiv plats att verka och bo i, samt att besöka, och att marknadsföra staden genom att utveckla berättelsen om Göteborg. Vidare finns målsättning om att förenkla stadens processer ur ett näringslivsperspektiv. </w:t>
            </w:r>
            <w:r w:rsidRPr="2D45ABF1">
              <w:rPr>
                <w:rFonts w:ascii="Times New Roman" w:eastAsia="Times New Roman" w:hAnsi="Times New Roman" w:cs="Times New Roman"/>
                <w:color w:val="000000" w:themeColor="text1"/>
                <w:sz w:val="20"/>
                <w:szCs w:val="20"/>
              </w:rPr>
              <w:lastRenderedPageBreak/>
              <w:t xml:space="preserve">Programmet syftar till att stärka näringslivets förutsättningar för innovation, att tillvarata och attrahera kompetens samt att positionera staden som en ledande testmiljö för hållbara lösningar. </w:t>
            </w:r>
          </w:p>
        </w:tc>
        <w:tc>
          <w:tcPr>
            <w:tcW w:w="1815" w:type="dxa"/>
            <w:tcBorders>
              <w:top w:val="single" w:sz="6" w:space="0" w:color="auto"/>
              <w:left w:val="single" w:sz="6" w:space="0" w:color="auto"/>
              <w:bottom w:val="single" w:sz="6" w:space="0" w:color="auto"/>
              <w:right w:val="single" w:sz="6" w:space="0" w:color="auto"/>
            </w:tcBorders>
          </w:tcPr>
          <w:p w14:paraId="4F3207C2" w14:textId="16F623CF"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lastRenderedPageBreak/>
              <w:t>1, 2, 3, 4, 5</w:t>
            </w:r>
          </w:p>
        </w:tc>
      </w:tr>
      <w:tr w:rsidR="2D45ABF1" w14:paraId="2CE71A77" w14:textId="77777777" w:rsidTr="5349B30D">
        <w:trPr>
          <w:trHeight w:val="615"/>
        </w:trPr>
        <w:tc>
          <w:tcPr>
            <w:tcW w:w="2018" w:type="dxa"/>
            <w:tcBorders>
              <w:top w:val="single" w:sz="6" w:space="0" w:color="auto"/>
              <w:left w:val="single" w:sz="6" w:space="0" w:color="auto"/>
              <w:bottom w:val="single" w:sz="6" w:space="0" w:color="auto"/>
              <w:right w:val="single" w:sz="6" w:space="0" w:color="auto"/>
            </w:tcBorders>
          </w:tcPr>
          <w:p w14:paraId="030D945D" w14:textId="3B09ED07"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Göteborgs Stads program för en jämlik stad</w:t>
            </w:r>
          </w:p>
        </w:tc>
        <w:tc>
          <w:tcPr>
            <w:tcW w:w="1440" w:type="dxa"/>
            <w:tcBorders>
              <w:top w:val="single" w:sz="6" w:space="0" w:color="auto"/>
              <w:left w:val="single" w:sz="6" w:space="0" w:color="auto"/>
              <w:bottom w:val="single" w:sz="6" w:space="0" w:color="auto"/>
              <w:right w:val="single" w:sz="6" w:space="0" w:color="auto"/>
            </w:tcBorders>
          </w:tcPr>
          <w:p w14:paraId="2293480B" w14:textId="47A552C3"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KF </w:t>
            </w:r>
          </w:p>
          <w:p w14:paraId="58E0BA8A" w14:textId="6432F119" w:rsidR="2D45ABF1" w:rsidRDefault="2D45ABF1" w:rsidP="00484A33">
            <w:pPr>
              <w:spacing w:line="276" w:lineRule="auto"/>
              <w:rPr>
                <w:rFonts w:ascii="Times New Roman" w:eastAsia="Times New Roman" w:hAnsi="Times New Roman" w:cs="Times New Roman"/>
                <w:color w:val="000000" w:themeColor="text1"/>
                <w:sz w:val="20"/>
                <w:szCs w:val="20"/>
              </w:rPr>
            </w:pPr>
          </w:p>
        </w:tc>
        <w:tc>
          <w:tcPr>
            <w:tcW w:w="1065" w:type="dxa"/>
            <w:tcBorders>
              <w:top w:val="single" w:sz="6" w:space="0" w:color="auto"/>
              <w:left w:val="single" w:sz="6" w:space="0" w:color="auto"/>
              <w:bottom w:val="single" w:sz="6" w:space="0" w:color="auto"/>
              <w:right w:val="single" w:sz="6" w:space="0" w:color="auto"/>
            </w:tcBorders>
          </w:tcPr>
          <w:p w14:paraId="7D0A1C5C" w14:textId="47C7189E"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2018–2026 </w:t>
            </w:r>
          </w:p>
        </w:tc>
        <w:tc>
          <w:tcPr>
            <w:tcW w:w="2798" w:type="dxa"/>
            <w:tcBorders>
              <w:top w:val="single" w:sz="6" w:space="0" w:color="auto"/>
              <w:left w:val="single" w:sz="6" w:space="0" w:color="auto"/>
              <w:bottom w:val="single" w:sz="6" w:space="0" w:color="auto"/>
              <w:right w:val="single" w:sz="6" w:space="0" w:color="auto"/>
            </w:tcBorders>
          </w:tcPr>
          <w:p w14:paraId="7589F0E4" w14:textId="75EE6940"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Style w:val="normaltextrun"/>
                <w:rFonts w:ascii="Times New Roman" w:eastAsia="Times New Roman" w:hAnsi="Times New Roman" w:cs="Times New Roman"/>
                <w:color w:val="000000" w:themeColor="text1"/>
                <w:sz w:val="20"/>
                <w:szCs w:val="20"/>
              </w:rPr>
              <w:t xml:space="preserve">Programmets mål och strategier inbegriper god och likvärdig tillgång till service i hela staden samt ett </w:t>
            </w:r>
            <w:r>
              <w:br/>
            </w:r>
            <w:r w:rsidRPr="2D45ABF1">
              <w:rPr>
                <w:rStyle w:val="normaltextrun"/>
                <w:rFonts w:ascii="Times New Roman" w:eastAsia="Times New Roman" w:hAnsi="Times New Roman" w:cs="Times New Roman"/>
                <w:color w:val="000000" w:themeColor="text1"/>
                <w:sz w:val="20"/>
                <w:szCs w:val="20"/>
              </w:rPr>
              <w:t>jämlikt basutbud av hälsofrämjande arenor och mötesplatser. Programmet syftar till samverkan för jämlik tillgång till hållbara livsmiljöer och att stadens fysiska miljöer ska skapa förutsättningar för socio-ekonomisk integration, trygghet och samman-hållning. Programmet syftar vidare till att utveckla en strukturerad och strategisk samverkan med akademi, näringsliv och civilsamhälle.</w:t>
            </w:r>
          </w:p>
        </w:tc>
        <w:tc>
          <w:tcPr>
            <w:tcW w:w="1815" w:type="dxa"/>
            <w:tcBorders>
              <w:top w:val="single" w:sz="6" w:space="0" w:color="auto"/>
              <w:left w:val="single" w:sz="6" w:space="0" w:color="auto"/>
              <w:bottom w:val="single" w:sz="6" w:space="0" w:color="auto"/>
              <w:right w:val="single" w:sz="6" w:space="0" w:color="auto"/>
            </w:tcBorders>
          </w:tcPr>
          <w:p w14:paraId="540C4A7E" w14:textId="599133A4"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 1, 2, 3, 4</w:t>
            </w:r>
          </w:p>
        </w:tc>
      </w:tr>
      <w:tr w:rsidR="2D45ABF1" w14:paraId="6DB0AEA7" w14:textId="77777777" w:rsidTr="5349B30D">
        <w:trPr>
          <w:trHeight w:val="615"/>
        </w:trPr>
        <w:tc>
          <w:tcPr>
            <w:tcW w:w="2018" w:type="dxa"/>
            <w:tcBorders>
              <w:top w:val="single" w:sz="6" w:space="0" w:color="auto"/>
              <w:left w:val="single" w:sz="6" w:space="0" w:color="auto"/>
              <w:bottom w:val="single" w:sz="6" w:space="0" w:color="auto"/>
              <w:right w:val="single" w:sz="6" w:space="0" w:color="auto"/>
            </w:tcBorders>
          </w:tcPr>
          <w:p w14:paraId="029172E3" w14:textId="5F704F4E"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Kulturprogram för Göteborgs Stad</w:t>
            </w:r>
          </w:p>
        </w:tc>
        <w:tc>
          <w:tcPr>
            <w:tcW w:w="1440" w:type="dxa"/>
            <w:tcBorders>
              <w:top w:val="single" w:sz="6" w:space="0" w:color="auto"/>
              <w:left w:val="single" w:sz="6" w:space="0" w:color="auto"/>
              <w:bottom w:val="single" w:sz="6" w:space="0" w:color="auto"/>
              <w:right w:val="single" w:sz="6" w:space="0" w:color="auto"/>
            </w:tcBorders>
          </w:tcPr>
          <w:p w14:paraId="1B969A32" w14:textId="1DB62FDD"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KF</w:t>
            </w:r>
          </w:p>
        </w:tc>
        <w:tc>
          <w:tcPr>
            <w:tcW w:w="1065" w:type="dxa"/>
            <w:tcBorders>
              <w:top w:val="single" w:sz="6" w:space="0" w:color="auto"/>
              <w:left w:val="single" w:sz="6" w:space="0" w:color="auto"/>
              <w:bottom w:val="single" w:sz="6" w:space="0" w:color="auto"/>
              <w:right w:val="single" w:sz="6" w:space="0" w:color="auto"/>
            </w:tcBorders>
          </w:tcPr>
          <w:p w14:paraId="5B2D4D9F" w14:textId="07678655" w:rsidR="2D45ABF1" w:rsidRDefault="005F2DB0"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2013–2021</w:t>
            </w:r>
          </w:p>
        </w:tc>
        <w:tc>
          <w:tcPr>
            <w:tcW w:w="2798" w:type="dxa"/>
            <w:tcBorders>
              <w:top w:val="single" w:sz="6" w:space="0" w:color="auto"/>
              <w:left w:val="single" w:sz="6" w:space="0" w:color="auto"/>
              <w:bottom w:val="single" w:sz="6" w:space="0" w:color="auto"/>
              <w:right w:val="single" w:sz="6" w:space="0" w:color="auto"/>
            </w:tcBorders>
          </w:tcPr>
          <w:p w14:paraId="67B1114C" w14:textId="5A391DF2"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Programmet syftar till att främja delaktighet, interkulturell dialog och människors lust och motivation att ta del av och utöva konst och kultur.  Programmet syftar vidare till att skapa en attraktiv livsmiljö i staden. </w:t>
            </w:r>
          </w:p>
        </w:tc>
        <w:tc>
          <w:tcPr>
            <w:tcW w:w="1815" w:type="dxa"/>
            <w:tcBorders>
              <w:top w:val="single" w:sz="6" w:space="0" w:color="auto"/>
              <w:left w:val="single" w:sz="6" w:space="0" w:color="auto"/>
              <w:bottom w:val="single" w:sz="6" w:space="0" w:color="auto"/>
              <w:right w:val="single" w:sz="6" w:space="0" w:color="auto"/>
            </w:tcBorders>
          </w:tcPr>
          <w:p w14:paraId="272AAEE6" w14:textId="7CD38AAA"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1, 4</w:t>
            </w:r>
          </w:p>
        </w:tc>
      </w:tr>
      <w:tr w:rsidR="2D45ABF1" w14:paraId="41CEEC01" w14:textId="77777777" w:rsidTr="5349B30D">
        <w:trPr>
          <w:trHeight w:val="4410"/>
        </w:trPr>
        <w:tc>
          <w:tcPr>
            <w:tcW w:w="2018" w:type="dxa"/>
            <w:tcBorders>
              <w:top w:val="single" w:sz="6" w:space="0" w:color="auto"/>
              <w:left w:val="single" w:sz="6" w:space="0" w:color="auto"/>
              <w:bottom w:val="single" w:sz="6" w:space="0" w:color="auto"/>
              <w:right w:val="single" w:sz="6" w:space="0" w:color="auto"/>
            </w:tcBorders>
          </w:tcPr>
          <w:p w14:paraId="5B24AC8D" w14:textId="09748A59"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Göteborgs Stads innovationsprogram</w:t>
            </w:r>
            <w:r>
              <w:br/>
            </w:r>
          </w:p>
        </w:tc>
        <w:tc>
          <w:tcPr>
            <w:tcW w:w="1440" w:type="dxa"/>
            <w:tcBorders>
              <w:top w:val="single" w:sz="6" w:space="0" w:color="auto"/>
              <w:left w:val="single" w:sz="6" w:space="0" w:color="auto"/>
              <w:bottom w:val="single" w:sz="6" w:space="0" w:color="auto"/>
              <w:right w:val="single" w:sz="6" w:space="0" w:color="auto"/>
            </w:tcBorders>
          </w:tcPr>
          <w:p w14:paraId="5776513A" w14:textId="319E28F6"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KF</w:t>
            </w:r>
          </w:p>
        </w:tc>
        <w:tc>
          <w:tcPr>
            <w:tcW w:w="1065" w:type="dxa"/>
            <w:tcBorders>
              <w:top w:val="single" w:sz="6" w:space="0" w:color="auto"/>
              <w:left w:val="single" w:sz="6" w:space="0" w:color="auto"/>
              <w:bottom w:val="single" w:sz="6" w:space="0" w:color="auto"/>
              <w:right w:val="single" w:sz="6" w:space="0" w:color="auto"/>
            </w:tcBorders>
          </w:tcPr>
          <w:p w14:paraId="3A4A0A67" w14:textId="73424E50" w:rsidR="2D45ABF1" w:rsidRDefault="005F2DB0"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2018–2023</w:t>
            </w:r>
          </w:p>
        </w:tc>
        <w:tc>
          <w:tcPr>
            <w:tcW w:w="2798" w:type="dxa"/>
            <w:tcBorders>
              <w:top w:val="single" w:sz="6" w:space="0" w:color="auto"/>
              <w:left w:val="single" w:sz="6" w:space="0" w:color="auto"/>
              <w:bottom w:val="single" w:sz="6" w:space="0" w:color="auto"/>
              <w:right w:val="single" w:sz="6" w:space="0" w:color="auto"/>
            </w:tcBorders>
          </w:tcPr>
          <w:p w14:paraId="127DB3EE" w14:textId="4B80FEEB"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Programmets mål omfattar att Göteborgs Stad har ett strukturerat arbetssätt som säkerställer effekt och nytta i gemensamma prioriteringar där innovation är ett verktyg, att medarbetare i Göteborgs </w:t>
            </w:r>
            <w:r w:rsidR="005F2DB0" w:rsidRPr="2D45ABF1">
              <w:rPr>
                <w:rFonts w:ascii="Times New Roman" w:eastAsia="Times New Roman" w:hAnsi="Times New Roman" w:cs="Times New Roman"/>
                <w:color w:val="000000" w:themeColor="text1"/>
                <w:sz w:val="20"/>
                <w:szCs w:val="20"/>
              </w:rPr>
              <w:t>Stadsförvaltningar</w:t>
            </w:r>
            <w:r w:rsidRPr="2D45ABF1">
              <w:rPr>
                <w:rFonts w:ascii="Times New Roman" w:eastAsia="Times New Roman" w:hAnsi="Times New Roman" w:cs="Times New Roman"/>
                <w:color w:val="000000" w:themeColor="text1"/>
                <w:sz w:val="20"/>
                <w:szCs w:val="20"/>
              </w:rPr>
              <w:t xml:space="preserve"> och bolag har goda förutsättningar att vara innovativa och utveckla verksamheten och att Göteborg ska vara erkänd som innovationsledande stad.</w:t>
            </w:r>
          </w:p>
          <w:p w14:paraId="3BF2DA05" w14:textId="50F79FDE"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Programmet belyser vidare att innovation skapar nytta för boende, besökare och näringsliv </w:t>
            </w:r>
            <w:r w:rsidRPr="2D45ABF1">
              <w:rPr>
                <w:rFonts w:ascii="Times New Roman" w:eastAsia="Times New Roman" w:hAnsi="Times New Roman" w:cs="Times New Roman"/>
                <w:color w:val="000000" w:themeColor="text1"/>
                <w:sz w:val="20"/>
                <w:szCs w:val="20"/>
              </w:rPr>
              <w:lastRenderedPageBreak/>
              <w:t xml:space="preserve">och bidrar till ett jämlikt och hållbart Göteborg </w:t>
            </w:r>
          </w:p>
        </w:tc>
        <w:tc>
          <w:tcPr>
            <w:tcW w:w="1815" w:type="dxa"/>
            <w:tcBorders>
              <w:top w:val="single" w:sz="6" w:space="0" w:color="auto"/>
              <w:left w:val="single" w:sz="6" w:space="0" w:color="auto"/>
              <w:bottom w:val="single" w:sz="6" w:space="0" w:color="auto"/>
              <w:right w:val="single" w:sz="6" w:space="0" w:color="auto"/>
            </w:tcBorders>
          </w:tcPr>
          <w:p w14:paraId="67417A74" w14:textId="47F0FBA9"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lastRenderedPageBreak/>
              <w:t xml:space="preserve">3, 5 </w:t>
            </w:r>
          </w:p>
        </w:tc>
      </w:tr>
      <w:tr w:rsidR="2D45ABF1" w14:paraId="2765D016" w14:textId="77777777" w:rsidTr="5349B30D">
        <w:trPr>
          <w:trHeight w:val="300"/>
        </w:trPr>
        <w:tc>
          <w:tcPr>
            <w:tcW w:w="2018" w:type="dxa"/>
            <w:tcBorders>
              <w:top w:val="single" w:sz="6" w:space="0" w:color="auto"/>
              <w:left w:val="single" w:sz="6" w:space="0" w:color="auto"/>
              <w:bottom w:val="single" w:sz="6" w:space="0" w:color="auto"/>
              <w:right w:val="single" w:sz="6" w:space="0" w:color="auto"/>
            </w:tcBorders>
          </w:tcPr>
          <w:p w14:paraId="56B00615" w14:textId="034D70DA"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Göteborgs Stads Grönstrategi - för en grön och tät stad</w:t>
            </w:r>
            <w:r>
              <w:br/>
            </w:r>
          </w:p>
        </w:tc>
        <w:tc>
          <w:tcPr>
            <w:tcW w:w="1440" w:type="dxa"/>
            <w:tcBorders>
              <w:top w:val="single" w:sz="6" w:space="0" w:color="auto"/>
              <w:left w:val="single" w:sz="6" w:space="0" w:color="auto"/>
              <w:bottom w:val="single" w:sz="6" w:space="0" w:color="auto"/>
              <w:right w:val="single" w:sz="6" w:space="0" w:color="auto"/>
            </w:tcBorders>
          </w:tcPr>
          <w:p w14:paraId="2579E7C9" w14:textId="5AFDB850"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Park- och natur-nämnden</w:t>
            </w:r>
          </w:p>
        </w:tc>
        <w:tc>
          <w:tcPr>
            <w:tcW w:w="1065" w:type="dxa"/>
            <w:tcBorders>
              <w:top w:val="single" w:sz="6" w:space="0" w:color="auto"/>
              <w:left w:val="single" w:sz="6" w:space="0" w:color="auto"/>
              <w:bottom w:val="single" w:sz="6" w:space="0" w:color="auto"/>
              <w:right w:val="single" w:sz="6" w:space="0" w:color="auto"/>
            </w:tcBorders>
          </w:tcPr>
          <w:p w14:paraId="235C963C" w14:textId="23E16429" w:rsidR="2D45ABF1" w:rsidRDefault="005F2DB0"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2014–2035</w:t>
            </w:r>
          </w:p>
        </w:tc>
        <w:tc>
          <w:tcPr>
            <w:tcW w:w="2798" w:type="dxa"/>
            <w:tcBorders>
              <w:top w:val="single" w:sz="6" w:space="0" w:color="auto"/>
              <w:left w:val="single" w:sz="6" w:space="0" w:color="auto"/>
              <w:bottom w:val="single" w:sz="6" w:space="0" w:color="auto"/>
              <w:right w:val="single" w:sz="6" w:space="0" w:color="auto"/>
            </w:tcBorders>
          </w:tcPr>
          <w:p w14:paraId="1FB38FA9" w14:textId="411AC612"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Strategins målsättningar handlar om att Göteborg är en tät och grön stad där de offentliga platserna bidrar till ett rikt och hälsosamt stadsliv. Strategin lyfter vikten av att säkerställa god tillgång till parker och naturområden och skapa ett varierat innehåll i parker och naturområden. </w:t>
            </w:r>
          </w:p>
        </w:tc>
        <w:tc>
          <w:tcPr>
            <w:tcW w:w="1815" w:type="dxa"/>
            <w:tcBorders>
              <w:top w:val="single" w:sz="6" w:space="0" w:color="auto"/>
              <w:left w:val="single" w:sz="6" w:space="0" w:color="auto"/>
              <w:bottom w:val="single" w:sz="6" w:space="0" w:color="auto"/>
              <w:right w:val="single" w:sz="6" w:space="0" w:color="auto"/>
            </w:tcBorders>
          </w:tcPr>
          <w:p w14:paraId="6C2BC8D6" w14:textId="41AC3109"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1, 2, 4 </w:t>
            </w:r>
          </w:p>
        </w:tc>
      </w:tr>
      <w:tr w:rsidR="2D45ABF1" w14:paraId="56DD9B61" w14:textId="77777777" w:rsidTr="5349B30D">
        <w:trPr>
          <w:trHeight w:val="300"/>
        </w:trPr>
        <w:tc>
          <w:tcPr>
            <w:tcW w:w="2018" w:type="dxa"/>
            <w:tcBorders>
              <w:top w:val="single" w:sz="6" w:space="0" w:color="auto"/>
              <w:left w:val="single" w:sz="6" w:space="0" w:color="auto"/>
              <w:bottom w:val="single" w:sz="6" w:space="0" w:color="auto"/>
              <w:right w:val="single" w:sz="6" w:space="0" w:color="auto"/>
            </w:tcBorders>
          </w:tcPr>
          <w:p w14:paraId="46E9E4B5" w14:textId="31BFAA42" w:rsidR="2D45ABF1" w:rsidRDefault="2D45ABF1" w:rsidP="00484A33">
            <w:pPr>
              <w:spacing w:beforeAutospacing="1" w:afterAutospacing="1"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Göteborgs Stads Trafikstrategi för en nära storstad</w:t>
            </w:r>
          </w:p>
          <w:p w14:paraId="32636FFE" w14:textId="0349F852" w:rsidR="2D45ABF1" w:rsidRDefault="2D45ABF1" w:rsidP="00484A33">
            <w:pPr>
              <w:spacing w:line="276" w:lineRule="auto"/>
              <w:rPr>
                <w:rFonts w:ascii="Times New Roman" w:eastAsia="Times New Roman" w:hAnsi="Times New Roman" w:cs="Times New Roman"/>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Pr>
          <w:p w14:paraId="69E7E761" w14:textId="046A1E92"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Trafik-nämnden</w:t>
            </w:r>
          </w:p>
        </w:tc>
        <w:tc>
          <w:tcPr>
            <w:tcW w:w="1065" w:type="dxa"/>
            <w:tcBorders>
              <w:top w:val="single" w:sz="6" w:space="0" w:color="auto"/>
              <w:left w:val="single" w:sz="6" w:space="0" w:color="auto"/>
              <w:bottom w:val="single" w:sz="6" w:space="0" w:color="auto"/>
              <w:right w:val="single" w:sz="6" w:space="0" w:color="auto"/>
            </w:tcBorders>
          </w:tcPr>
          <w:p w14:paraId="491903F4" w14:textId="70DF6FDB" w:rsidR="2D45ABF1" w:rsidRDefault="005F2DB0"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2014–2035</w:t>
            </w:r>
          </w:p>
        </w:tc>
        <w:tc>
          <w:tcPr>
            <w:tcW w:w="2798" w:type="dxa"/>
            <w:tcBorders>
              <w:top w:val="single" w:sz="6" w:space="0" w:color="auto"/>
              <w:left w:val="single" w:sz="6" w:space="0" w:color="auto"/>
              <w:bottom w:val="single" w:sz="6" w:space="0" w:color="auto"/>
              <w:right w:val="single" w:sz="6" w:space="0" w:color="auto"/>
            </w:tcBorders>
          </w:tcPr>
          <w:p w14:paraId="6D912D9E" w14:textId="1AD90BAD"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Programmets strategier för stadsrum innefattar mål om att omdisponera gaturummet och skapa mer yta där människor vill vistas och röra sig.</w:t>
            </w:r>
          </w:p>
        </w:tc>
        <w:tc>
          <w:tcPr>
            <w:tcW w:w="1815" w:type="dxa"/>
            <w:tcBorders>
              <w:top w:val="single" w:sz="6" w:space="0" w:color="auto"/>
              <w:left w:val="single" w:sz="6" w:space="0" w:color="auto"/>
              <w:bottom w:val="single" w:sz="6" w:space="0" w:color="auto"/>
              <w:right w:val="single" w:sz="6" w:space="0" w:color="auto"/>
            </w:tcBorders>
          </w:tcPr>
          <w:p w14:paraId="3E3AAB01" w14:textId="7910488F"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2, 4 </w:t>
            </w:r>
          </w:p>
        </w:tc>
      </w:tr>
      <w:tr w:rsidR="2D45ABF1" w14:paraId="28C8DFB3" w14:textId="77777777" w:rsidTr="5349B30D">
        <w:trPr>
          <w:trHeight w:val="300"/>
        </w:trPr>
        <w:tc>
          <w:tcPr>
            <w:tcW w:w="2018" w:type="dxa"/>
            <w:tcBorders>
              <w:top w:val="single" w:sz="6" w:space="0" w:color="auto"/>
              <w:left w:val="single" w:sz="6" w:space="0" w:color="auto"/>
              <w:bottom w:val="single" w:sz="6" w:space="0" w:color="auto"/>
              <w:right w:val="single" w:sz="6" w:space="0" w:color="auto"/>
            </w:tcBorders>
          </w:tcPr>
          <w:p w14:paraId="22E367E8" w14:textId="52DDAA01" w:rsidR="2D45ABF1" w:rsidRDefault="2D45ABF1" w:rsidP="00484A33">
            <w:pPr>
              <w:spacing w:line="276" w:lineRule="auto"/>
              <w:rPr>
                <w:rFonts w:ascii="Times New Roman" w:eastAsia="Times New Roman" w:hAnsi="Times New Roman" w:cs="Times New Roman"/>
                <w:sz w:val="20"/>
                <w:szCs w:val="20"/>
              </w:rPr>
            </w:pPr>
            <w:r w:rsidRPr="2D45ABF1">
              <w:rPr>
                <w:rFonts w:ascii="Times New Roman" w:eastAsia="Times New Roman" w:hAnsi="Times New Roman" w:cs="Times New Roman"/>
                <w:sz w:val="20"/>
                <w:szCs w:val="20"/>
              </w:rPr>
              <w:t>Översiktsplan för Göteborgs Stad</w:t>
            </w:r>
          </w:p>
        </w:tc>
        <w:tc>
          <w:tcPr>
            <w:tcW w:w="1440" w:type="dxa"/>
            <w:tcBorders>
              <w:top w:val="single" w:sz="6" w:space="0" w:color="auto"/>
              <w:left w:val="single" w:sz="6" w:space="0" w:color="auto"/>
              <w:bottom w:val="single" w:sz="6" w:space="0" w:color="auto"/>
              <w:right w:val="single" w:sz="6" w:space="0" w:color="auto"/>
            </w:tcBorders>
          </w:tcPr>
          <w:p w14:paraId="70BB998C" w14:textId="77BC58DD" w:rsidR="2D45ABF1" w:rsidRDefault="2D45ABF1" w:rsidP="00484A33">
            <w:pPr>
              <w:spacing w:line="276" w:lineRule="auto"/>
              <w:rPr>
                <w:rFonts w:ascii="Times New Roman" w:eastAsia="Times New Roman" w:hAnsi="Times New Roman" w:cs="Times New Roman"/>
                <w:sz w:val="20"/>
                <w:szCs w:val="20"/>
              </w:rPr>
            </w:pPr>
            <w:r w:rsidRPr="2D45ABF1">
              <w:rPr>
                <w:rFonts w:ascii="Times New Roman" w:eastAsia="Times New Roman" w:hAnsi="Times New Roman" w:cs="Times New Roman"/>
                <w:sz w:val="20"/>
                <w:szCs w:val="20"/>
              </w:rPr>
              <w:t xml:space="preserve">KF väntas fatta beslut om förslag till ny </w:t>
            </w:r>
            <w:r w:rsidR="7CFCCC63" w:rsidRPr="2D45ABF1">
              <w:rPr>
                <w:rFonts w:ascii="Times New Roman" w:eastAsia="Times New Roman" w:hAnsi="Times New Roman" w:cs="Times New Roman"/>
                <w:sz w:val="20"/>
                <w:szCs w:val="20"/>
              </w:rPr>
              <w:t>Ö</w:t>
            </w:r>
            <w:r w:rsidRPr="2D45ABF1">
              <w:rPr>
                <w:rFonts w:ascii="Times New Roman" w:eastAsia="Times New Roman" w:hAnsi="Times New Roman" w:cs="Times New Roman"/>
                <w:sz w:val="20"/>
                <w:szCs w:val="20"/>
              </w:rPr>
              <w:t xml:space="preserve">versiktsplan under våren 2022. </w:t>
            </w:r>
          </w:p>
        </w:tc>
        <w:tc>
          <w:tcPr>
            <w:tcW w:w="1065" w:type="dxa"/>
            <w:tcBorders>
              <w:top w:val="single" w:sz="6" w:space="0" w:color="auto"/>
              <w:left w:val="single" w:sz="6" w:space="0" w:color="auto"/>
              <w:bottom w:val="single" w:sz="6" w:space="0" w:color="auto"/>
              <w:right w:val="single" w:sz="6" w:space="0" w:color="auto"/>
            </w:tcBorders>
          </w:tcPr>
          <w:p w14:paraId="69EA7D45" w14:textId="2A929CE8" w:rsidR="2D45ABF1" w:rsidRDefault="005F2DB0"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2022–2050</w:t>
            </w:r>
          </w:p>
        </w:tc>
        <w:tc>
          <w:tcPr>
            <w:tcW w:w="2798" w:type="dxa"/>
            <w:tcBorders>
              <w:top w:val="single" w:sz="6" w:space="0" w:color="auto"/>
              <w:left w:val="single" w:sz="6" w:space="0" w:color="auto"/>
              <w:bottom w:val="single" w:sz="6" w:space="0" w:color="auto"/>
              <w:right w:val="single" w:sz="6" w:space="0" w:color="auto"/>
            </w:tcBorders>
          </w:tcPr>
          <w:p w14:paraId="74DC01E4" w14:textId="4E3B9860"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 xml:space="preserve">Planen belyser att de ökande turistströmmarna behöver mötas av ett större utbud av boende i olika former och prisklasser. Andra nödvändiga investeringar handlar om arenor och anläggningar, infrastruktur och transporter, kulturutbud och kommersiella ytor, naturupplevelser mm som alla är viktiga för besöksstadens attraktivitet på olika sätt. Planen belyser vidare att den nära tillgången till parker, natur och vatten bidrar till ökad hälsa och människors känsla av välmående. Kollektivtrafiken behöver säkerställa god mobilitet, tillgänglighet och </w:t>
            </w:r>
            <w:r w:rsidRPr="2D45ABF1">
              <w:rPr>
                <w:rFonts w:ascii="Times New Roman" w:eastAsia="Times New Roman" w:hAnsi="Times New Roman" w:cs="Times New Roman"/>
                <w:color w:val="000000" w:themeColor="text1"/>
                <w:sz w:val="20"/>
                <w:szCs w:val="20"/>
              </w:rPr>
              <w:lastRenderedPageBreak/>
              <w:t xml:space="preserve">framkomlighet till evenemangsplatser och attraktioner. Fysisk planering för besöksnäringen i Göteborg innebär i hög grad att skapa attraktivitet genom reseanledningar och tillgänglighet. </w:t>
            </w:r>
          </w:p>
        </w:tc>
        <w:tc>
          <w:tcPr>
            <w:tcW w:w="1815" w:type="dxa"/>
            <w:tcBorders>
              <w:top w:val="single" w:sz="6" w:space="0" w:color="auto"/>
              <w:left w:val="single" w:sz="6" w:space="0" w:color="auto"/>
              <w:bottom w:val="single" w:sz="6" w:space="0" w:color="auto"/>
              <w:right w:val="single" w:sz="6" w:space="0" w:color="auto"/>
            </w:tcBorders>
          </w:tcPr>
          <w:p w14:paraId="76259E21" w14:textId="37AB81A2"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lastRenderedPageBreak/>
              <w:t>1, 2, 4</w:t>
            </w:r>
          </w:p>
        </w:tc>
      </w:tr>
      <w:tr w:rsidR="2D45ABF1" w14:paraId="2F0E8CA2" w14:textId="77777777" w:rsidTr="5349B30D">
        <w:trPr>
          <w:trHeight w:val="300"/>
        </w:trPr>
        <w:tc>
          <w:tcPr>
            <w:tcW w:w="2018" w:type="dxa"/>
            <w:tcBorders>
              <w:top w:val="single" w:sz="6" w:space="0" w:color="auto"/>
              <w:left w:val="single" w:sz="6" w:space="0" w:color="auto"/>
              <w:bottom w:val="single" w:sz="6" w:space="0" w:color="auto"/>
              <w:right w:val="single" w:sz="6" w:space="0" w:color="auto"/>
            </w:tcBorders>
          </w:tcPr>
          <w:p w14:paraId="33D1380C" w14:textId="6B953BF6" w:rsidR="2D45ABF1" w:rsidRDefault="2D45ABF1" w:rsidP="00484A33">
            <w:pPr>
              <w:spacing w:line="276" w:lineRule="auto"/>
              <w:rPr>
                <w:rFonts w:ascii="Times New Roman" w:eastAsia="Times New Roman" w:hAnsi="Times New Roman" w:cs="Times New Roman"/>
                <w:sz w:val="20"/>
                <w:szCs w:val="20"/>
              </w:rPr>
            </w:pPr>
            <w:r w:rsidRPr="2D45ABF1">
              <w:rPr>
                <w:rFonts w:ascii="Times New Roman" w:eastAsia="Times New Roman" w:hAnsi="Times New Roman" w:cs="Times New Roman"/>
                <w:sz w:val="20"/>
                <w:szCs w:val="20"/>
              </w:rPr>
              <w:t>Göteborgs Stads Fördjupad översiktsplan centrum</w:t>
            </w:r>
            <w:r>
              <w:br/>
            </w:r>
          </w:p>
        </w:tc>
        <w:tc>
          <w:tcPr>
            <w:tcW w:w="1440" w:type="dxa"/>
            <w:tcBorders>
              <w:top w:val="single" w:sz="6" w:space="0" w:color="auto"/>
              <w:left w:val="single" w:sz="6" w:space="0" w:color="auto"/>
              <w:bottom w:val="single" w:sz="6" w:space="0" w:color="auto"/>
              <w:right w:val="single" w:sz="6" w:space="0" w:color="auto"/>
            </w:tcBorders>
          </w:tcPr>
          <w:p w14:paraId="52B68902" w14:textId="0AA3DF93" w:rsidR="2D45ABF1" w:rsidRDefault="2D45ABF1" w:rsidP="00484A33">
            <w:pPr>
              <w:spacing w:line="276" w:lineRule="auto"/>
              <w:rPr>
                <w:rFonts w:ascii="Times New Roman" w:eastAsia="Times New Roman" w:hAnsi="Times New Roman" w:cs="Times New Roman"/>
                <w:sz w:val="20"/>
                <w:szCs w:val="20"/>
              </w:rPr>
            </w:pPr>
            <w:r w:rsidRPr="2D45ABF1">
              <w:rPr>
                <w:rFonts w:ascii="Times New Roman" w:eastAsia="Times New Roman" w:hAnsi="Times New Roman" w:cs="Times New Roman"/>
                <w:sz w:val="20"/>
                <w:szCs w:val="20"/>
              </w:rPr>
              <w:t xml:space="preserve">KF väntas fatta beslut om förslag till ny </w:t>
            </w:r>
            <w:r w:rsidR="251573E6" w:rsidRPr="2D45ABF1">
              <w:rPr>
                <w:rFonts w:ascii="Times New Roman" w:eastAsia="Times New Roman" w:hAnsi="Times New Roman" w:cs="Times New Roman"/>
                <w:sz w:val="20"/>
                <w:szCs w:val="20"/>
              </w:rPr>
              <w:t>Ö</w:t>
            </w:r>
            <w:r w:rsidRPr="2D45ABF1">
              <w:rPr>
                <w:rFonts w:ascii="Times New Roman" w:eastAsia="Times New Roman" w:hAnsi="Times New Roman" w:cs="Times New Roman"/>
                <w:sz w:val="20"/>
                <w:szCs w:val="20"/>
              </w:rPr>
              <w:t>versiktsplan under våren 2022.</w:t>
            </w:r>
          </w:p>
          <w:p w14:paraId="7596B02F" w14:textId="38E2B363" w:rsidR="2D45ABF1" w:rsidRDefault="2D45ABF1" w:rsidP="00484A33">
            <w:pPr>
              <w:spacing w:line="276" w:lineRule="auto"/>
              <w:rPr>
                <w:rFonts w:ascii="Calibri" w:eastAsia="Calibri" w:hAnsi="Calibri" w:cs="Calibri"/>
                <w:sz w:val="20"/>
                <w:szCs w:val="20"/>
              </w:rPr>
            </w:pPr>
          </w:p>
        </w:tc>
        <w:tc>
          <w:tcPr>
            <w:tcW w:w="1065" w:type="dxa"/>
            <w:tcBorders>
              <w:top w:val="single" w:sz="6" w:space="0" w:color="auto"/>
              <w:left w:val="single" w:sz="6" w:space="0" w:color="auto"/>
              <w:bottom w:val="single" w:sz="6" w:space="0" w:color="auto"/>
              <w:right w:val="single" w:sz="6" w:space="0" w:color="auto"/>
            </w:tcBorders>
          </w:tcPr>
          <w:p w14:paraId="0DD4241D" w14:textId="16B0ABC3" w:rsidR="2D45ABF1" w:rsidRDefault="005F2DB0"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2022–2050</w:t>
            </w:r>
          </w:p>
        </w:tc>
        <w:tc>
          <w:tcPr>
            <w:tcW w:w="2798" w:type="dxa"/>
            <w:tcBorders>
              <w:top w:val="single" w:sz="6" w:space="0" w:color="auto"/>
              <w:left w:val="single" w:sz="6" w:space="0" w:color="auto"/>
              <w:bottom w:val="single" w:sz="6" w:space="0" w:color="auto"/>
              <w:right w:val="single" w:sz="6" w:space="0" w:color="auto"/>
            </w:tcBorders>
          </w:tcPr>
          <w:p w14:paraId="0457BA17" w14:textId="0A5A9B7C"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Planen belyser att det finns en stark koppling mellan kulturella och kreativa företag och besöksnäringen, där upplevelsen och verksamheten kan vara direkt bunden till en plats och de största kundgrupperna är turister och privatpersoner. Planen talar vidare om vikten att främja en tillåtande atmosfär när det kommer till spontana och återkommande kulturyttringar, festivaler och evenemang</w:t>
            </w:r>
          </w:p>
        </w:tc>
        <w:tc>
          <w:tcPr>
            <w:tcW w:w="1815" w:type="dxa"/>
            <w:tcBorders>
              <w:top w:val="single" w:sz="6" w:space="0" w:color="auto"/>
              <w:left w:val="single" w:sz="6" w:space="0" w:color="auto"/>
              <w:bottom w:val="single" w:sz="6" w:space="0" w:color="auto"/>
              <w:right w:val="single" w:sz="6" w:space="0" w:color="auto"/>
            </w:tcBorders>
          </w:tcPr>
          <w:p w14:paraId="19ECD6C9" w14:textId="67168AAB" w:rsidR="2D45ABF1" w:rsidRDefault="2D45ABF1" w:rsidP="00484A33">
            <w:pPr>
              <w:spacing w:line="276" w:lineRule="auto"/>
              <w:rPr>
                <w:rFonts w:ascii="Times New Roman" w:eastAsia="Times New Roman" w:hAnsi="Times New Roman" w:cs="Times New Roman"/>
                <w:color w:val="000000" w:themeColor="text1"/>
                <w:sz w:val="20"/>
                <w:szCs w:val="20"/>
              </w:rPr>
            </w:pPr>
            <w:r w:rsidRPr="2D45ABF1">
              <w:rPr>
                <w:rFonts w:ascii="Times New Roman" w:eastAsia="Times New Roman" w:hAnsi="Times New Roman" w:cs="Times New Roman"/>
                <w:color w:val="000000" w:themeColor="text1"/>
                <w:sz w:val="20"/>
                <w:szCs w:val="20"/>
              </w:rPr>
              <w:t>2, 4</w:t>
            </w:r>
          </w:p>
        </w:tc>
      </w:tr>
    </w:tbl>
    <w:p w14:paraId="42D297A6" w14:textId="283F012B" w:rsidR="2D45ABF1" w:rsidRDefault="2D45ABF1" w:rsidP="00484A33">
      <w:pPr>
        <w:spacing w:beforeAutospacing="1" w:afterAutospacing="1" w:line="276" w:lineRule="auto"/>
        <w:rPr>
          <w:rFonts w:ascii="Times New Roman" w:eastAsia="Times New Roman" w:hAnsi="Times New Roman" w:cs="Times New Roman"/>
          <w:color w:val="000000" w:themeColor="text1"/>
          <w:sz w:val="24"/>
          <w:szCs w:val="24"/>
        </w:rPr>
      </w:pPr>
    </w:p>
    <w:sectPr w:rsidR="2D45ABF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504C" w14:textId="77777777" w:rsidR="004340C8" w:rsidRDefault="004340C8" w:rsidP="004340C8">
      <w:pPr>
        <w:spacing w:after="0" w:line="240" w:lineRule="auto"/>
      </w:pPr>
      <w:r>
        <w:separator/>
      </w:r>
    </w:p>
  </w:endnote>
  <w:endnote w:type="continuationSeparator" w:id="0">
    <w:p w14:paraId="656F4539" w14:textId="77777777" w:rsidR="004340C8" w:rsidRDefault="004340C8" w:rsidP="0043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Pro-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1D32" w14:textId="77777777" w:rsidR="004340C8" w:rsidRDefault="004340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D0F8" w14:textId="77777777" w:rsidR="004340C8" w:rsidRDefault="004340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956F" w14:textId="77777777" w:rsidR="004340C8" w:rsidRDefault="004340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D4C6" w14:textId="77777777" w:rsidR="004340C8" w:rsidRDefault="004340C8" w:rsidP="004340C8">
      <w:pPr>
        <w:spacing w:after="0" w:line="240" w:lineRule="auto"/>
      </w:pPr>
      <w:r>
        <w:separator/>
      </w:r>
    </w:p>
  </w:footnote>
  <w:footnote w:type="continuationSeparator" w:id="0">
    <w:p w14:paraId="15F7B185" w14:textId="77777777" w:rsidR="004340C8" w:rsidRDefault="004340C8" w:rsidP="00434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01E4" w14:textId="77777777" w:rsidR="004340C8" w:rsidRDefault="004340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92187"/>
      <w:docPartObj>
        <w:docPartGallery w:val="Watermarks"/>
        <w:docPartUnique/>
      </w:docPartObj>
    </w:sdtPr>
    <w:sdtEndPr/>
    <w:sdtContent>
      <w:p w14:paraId="60F81995" w14:textId="4D183DB7" w:rsidR="004340C8" w:rsidRDefault="000374FA">
        <w:pPr>
          <w:pStyle w:val="Sidhuvud"/>
        </w:pPr>
        <w:r>
          <w:pict w14:anchorId="1AC5F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2861" o:spid="_x0000_s2049" type="#_x0000_t136" style="position:absolute;margin-left:0;margin-top:0;width:556.75pt;height:79.5pt;rotation:315;z-index:-251658752;mso-position-horizontal:center;mso-position-horizontal-relative:margin;mso-position-vertical:center;mso-position-vertical-relative:margin" o:allowincell="f" fillcolor="silver" stroked="f">
              <v:fill opacity=".5"/>
              <v:textpath style="font-family:&quot;Times New Roman&quot;;font-size:1pt" string="REMISSVERS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7CA3" w14:textId="77777777" w:rsidR="004340C8" w:rsidRDefault="004340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7575"/>
    <w:multiLevelType w:val="hybridMultilevel"/>
    <w:tmpl w:val="B6E4EB72"/>
    <w:lvl w:ilvl="0" w:tplc="0952F726">
      <w:start w:val="1"/>
      <w:numFmt w:val="decimal"/>
      <w:lvlText w:val="%1."/>
      <w:lvlJc w:val="left"/>
      <w:pPr>
        <w:ind w:left="720" w:hanging="360"/>
      </w:pPr>
    </w:lvl>
    <w:lvl w:ilvl="1" w:tplc="0E9E3BA0">
      <w:start w:val="1"/>
      <w:numFmt w:val="lowerLetter"/>
      <w:lvlText w:val="%2."/>
      <w:lvlJc w:val="left"/>
      <w:pPr>
        <w:ind w:left="1440" w:hanging="360"/>
      </w:pPr>
    </w:lvl>
    <w:lvl w:ilvl="2" w:tplc="C202705C">
      <w:start w:val="1"/>
      <w:numFmt w:val="lowerRoman"/>
      <w:lvlText w:val="%3."/>
      <w:lvlJc w:val="right"/>
      <w:pPr>
        <w:ind w:left="2160" w:hanging="180"/>
      </w:pPr>
    </w:lvl>
    <w:lvl w:ilvl="3" w:tplc="FCD4DBE2">
      <w:start w:val="1"/>
      <w:numFmt w:val="decimal"/>
      <w:lvlText w:val="%4."/>
      <w:lvlJc w:val="left"/>
      <w:pPr>
        <w:ind w:left="2880" w:hanging="360"/>
      </w:pPr>
    </w:lvl>
    <w:lvl w:ilvl="4" w:tplc="31B07E8E">
      <w:start w:val="1"/>
      <w:numFmt w:val="lowerLetter"/>
      <w:lvlText w:val="%5."/>
      <w:lvlJc w:val="left"/>
      <w:pPr>
        <w:ind w:left="3600" w:hanging="360"/>
      </w:pPr>
    </w:lvl>
    <w:lvl w:ilvl="5" w:tplc="8068AEF2">
      <w:start w:val="1"/>
      <w:numFmt w:val="lowerRoman"/>
      <w:lvlText w:val="%6."/>
      <w:lvlJc w:val="right"/>
      <w:pPr>
        <w:ind w:left="4320" w:hanging="180"/>
      </w:pPr>
    </w:lvl>
    <w:lvl w:ilvl="6" w:tplc="28BE85DC">
      <w:start w:val="1"/>
      <w:numFmt w:val="decimal"/>
      <w:lvlText w:val="%7."/>
      <w:lvlJc w:val="left"/>
      <w:pPr>
        <w:ind w:left="5040" w:hanging="360"/>
      </w:pPr>
    </w:lvl>
    <w:lvl w:ilvl="7" w:tplc="EB4419F8">
      <w:start w:val="1"/>
      <w:numFmt w:val="lowerLetter"/>
      <w:lvlText w:val="%8."/>
      <w:lvlJc w:val="left"/>
      <w:pPr>
        <w:ind w:left="5760" w:hanging="360"/>
      </w:pPr>
    </w:lvl>
    <w:lvl w:ilvl="8" w:tplc="82F46C9C">
      <w:start w:val="1"/>
      <w:numFmt w:val="lowerRoman"/>
      <w:lvlText w:val="%9."/>
      <w:lvlJc w:val="right"/>
      <w:pPr>
        <w:ind w:left="6480" w:hanging="180"/>
      </w:pPr>
    </w:lvl>
  </w:abstractNum>
  <w:abstractNum w:abstractNumId="1" w15:restartNumberingAfterBreak="0">
    <w:nsid w:val="0FDA3F5D"/>
    <w:multiLevelType w:val="hybridMultilevel"/>
    <w:tmpl w:val="20AA9510"/>
    <w:lvl w:ilvl="0" w:tplc="16668F0E">
      <w:start w:val="1"/>
      <w:numFmt w:val="decimal"/>
      <w:lvlText w:val="%1."/>
      <w:lvlJc w:val="left"/>
      <w:pPr>
        <w:ind w:left="720" w:hanging="360"/>
      </w:pPr>
    </w:lvl>
    <w:lvl w:ilvl="1" w:tplc="7E645892">
      <w:start w:val="1"/>
      <w:numFmt w:val="lowerLetter"/>
      <w:lvlText w:val="%2."/>
      <w:lvlJc w:val="left"/>
      <w:pPr>
        <w:ind w:left="1440" w:hanging="360"/>
      </w:pPr>
    </w:lvl>
    <w:lvl w:ilvl="2" w:tplc="4CE8ECAE">
      <w:start w:val="1"/>
      <w:numFmt w:val="lowerRoman"/>
      <w:lvlText w:val="%3."/>
      <w:lvlJc w:val="right"/>
      <w:pPr>
        <w:ind w:left="2160" w:hanging="180"/>
      </w:pPr>
    </w:lvl>
    <w:lvl w:ilvl="3" w:tplc="7E54F60E">
      <w:start w:val="1"/>
      <w:numFmt w:val="decimal"/>
      <w:lvlText w:val="%4."/>
      <w:lvlJc w:val="left"/>
      <w:pPr>
        <w:ind w:left="2880" w:hanging="360"/>
      </w:pPr>
    </w:lvl>
    <w:lvl w:ilvl="4" w:tplc="004E21DE">
      <w:start w:val="1"/>
      <w:numFmt w:val="lowerLetter"/>
      <w:lvlText w:val="%5."/>
      <w:lvlJc w:val="left"/>
      <w:pPr>
        <w:ind w:left="3600" w:hanging="360"/>
      </w:pPr>
    </w:lvl>
    <w:lvl w:ilvl="5" w:tplc="A0F8CFEA">
      <w:start w:val="1"/>
      <w:numFmt w:val="lowerRoman"/>
      <w:lvlText w:val="%6."/>
      <w:lvlJc w:val="right"/>
      <w:pPr>
        <w:ind w:left="4320" w:hanging="180"/>
      </w:pPr>
    </w:lvl>
    <w:lvl w:ilvl="6" w:tplc="D24678A0">
      <w:start w:val="1"/>
      <w:numFmt w:val="decimal"/>
      <w:lvlText w:val="%7."/>
      <w:lvlJc w:val="left"/>
      <w:pPr>
        <w:ind w:left="5040" w:hanging="360"/>
      </w:pPr>
    </w:lvl>
    <w:lvl w:ilvl="7" w:tplc="271825AA">
      <w:start w:val="1"/>
      <w:numFmt w:val="lowerLetter"/>
      <w:lvlText w:val="%8."/>
      <w:lvlJc w:val="left"/>
      <w:pPr>
        <w:ind w:left="5760" w:hanging="360"/>
      </w:pPr>
    </w:lvl>
    <w:lvl w:ilvl="8" w:tplc="6340E788">
      <w:start w:val="1"/>
      <w:numFmt w:val="lowerRoman"/>
      <w:lvlText w:val="%9."/>
      <w:lvlJc w:val="right"/>
      <w:pPr>
        <w:ind w:left="6480" w:hanging="180"/>
      </w:pPr>
    </w:lvl>
  </w:abstractNum>
  <w:abstractNum w:abstractNumId="2" w15:restartNumberingAfterBreak="0">
    <w:nsid w:val="10C918CE"/>
    <w:multiLevelType w:val="hybridMultilevel"/>
    <w:tmpl w:val="9378D8CA"/>
    <w:lvl w:ilvl="0" w:tplc="5AA266B6">
      <w:start w:val="1"/>
      <w:numFmt w:val="bullet"/>
      <w:lvlText w:val="-"/>
      <w:lvlJc w:val="left"/>
      <w:pPr>
        <w:ind w:left="720" w:hanging="360"/>
      </w:pPr>
      <w:rPr>
        <w:rFonts w:ascii="Calibri" w:hAnsi="Calibri" w:hint="default"/>
      </w:rPr>
    </w:lvl>
    <w:lvl w:ilvl="1" w:tplc="E3D03254">
      <w:start w:val="1"/>
      <w:numFmt w:val="bullet"/>
      <w:lvlText w:val="o"/>
      <w:lvlJc w:val="left"/>
      <w:pPr>
        <w:ind w:left="1440" w:hanging="360"/>
      </w:pPr>
      <w:rPr>
        <w:rFonts w:ascii="Courier New" w:hAnsi="Courier New" w:hint="default"/>
      </w:rPr>
    </w:lvl>
    <w:lvl w:ilvl="2" w:tplc="1D7A19E4">
      <w:start w:val="1"/>
      <w:numFmt w:val="bullet"/>
      <w:lvlText w:val=""/>
      <w:lvlJc w:val="left"/>
      <w:pPr>
        <w:ind w:left="2160" w:hanging="360"/>
      </w:pPr>
      <w:rPr>
        <w:rFonts w:ascii="Wingdings" w:hAnsi="Wingdings" w:hint="default"/>
      </w:rPr>
    </w:lvl>
    <w:lvl w:ilvl="3" w:tplc="9086CB9E">
      <w:start w:val="1"/>
      <w:numFmt w:val="bullet"/>
      <w:lvlText w:val=""/>
      <w:lvlJc w:val="left"/>
      <w:pPr>
        <w:ind w:left="2880" w:hanging="360"/>
      </w:pPr>
      <w:rPr>
        <w:rFonts w:ascii="Symbol" w:hAnsi="Symbol" w:hint="default"/>
      </w:rPr>
    </w:lvl>
    <w:lvl w:ilvl="4" w:tplc="00901162">
      <w:start w:val="1"/>
      <w:numFmt w:val="bullet"/>
      <w:lvlText w:val="o"/>
      <w:lvlJc w:val="left"/>
      <w:pPr>
        <w:ind w:left="3600" w:hanging="360"/>
      </w:pPr>
      <w:rPr>
        <w:rFonts w:ascii="Courier New" w:hAnsi="Courier New" w:hint="default"/>
      </w:rPr>
    </w:lvl>
    <w:lvl w:ilvl="5" w:tplc="4EC08736">
      <w:start w:val="1"/>
      <w:numFmt w:val="bullet"/>
      <w:lvlText w:val=""/>
      <w:lvlJc w:val="left"/>
      <w:pPr>
        <w:ind w:left="4320" w:hanging="360"/>
      </w:pPr>
      <w:rPr>
        <w:rFonts w:ascii="Wingdings" w:hAnsi="Wingdings" w:hint="default"/>
      </w:rPr>
    </w:lvl>
    <w:lvl w:ilvl="6" w:tplc="A306AC30">
      <w:start w:val="1"/>
      <w:numFmt w:val="bullet"/>
      <w:lvlText w:val=""/>
      <w:lvlJc w:val="left"/>
      <w:pPr>
        <w:ind w:left="5040" w:hanging="360"/>
      </w:pPr>
      <w:rPr>
        <w:rFonts w:ascii="Symbol" w:hAnsi="Symbol" w:hint="default"/>
      </w:rPr>
    </w:lvl>
    <w:lvl w:ilvl="7" w:tplc="256AD0E4">
      <w:start w:val="1"/>
      <w:numFmt w:val="bullet"/>
      <w:lvlText w:val="o"/>
      <w:lvlJc w:val="left"/>
      <w:pPr>
        <w:ind w:left="5760" w:hanging="360"/>
      </w:pPr>
      <w:rPr>
        <w:rFonts w:ascii="Courier New" w:hAnsi="Courier New" w:hint="default"/>
      </w:rPr>
    </w:lvl>
    <w:lvl w:ilvl="8" w:tplc="4A702CF8">
      <w:start w:val="1"/>
      <w:numFmt w:val="bullet"/>
      <w:lvlText w:val=""/>
      <w:lvlJc w:val="left"/>
      <w:pPr>
        <w:ind w:left="6480" w:hanging="360"/>
      </w:pPr>
      <w:rPr>
        <w:rFonts w:ascii="Wingdings" w:hAnsi="Wingdings" w:hint="default"/>
      </w:rPr>
    </w:lvl>
  </w:abstractNum>
  <w:abstractNum w:abstractNumId="3" w15:restartNumberingAfterBreak="0">
    <w:nsid w:val="15627CB0"/>
    <w:multiLevelType w:val="hybridMultilevel"/>
    <w:tmpl w:val="84E4A16E"/>
    <w:lvl w:ilvl="0" w:tplc="69F0A614">
      <w:start w:val="1"/>
      <w:numFmt w:val="bullet"/>
      <w:lvlText w:val=""/>
      <w:lvlJc w:val="left"/>
      <w:pPr>
        <w:ind w:left="720" w:hanging="360"/>
      </w:pPr>
      <w:rPr>
        <w:rFonts w:ascii="Symbol" w:hAnsi="Symbol" w:hint="default"/>
      </w:rPr>
    </w:lvl>
    <w:lvl w:ilvl="1" w:tplc="D040B078">
      <w:start w:val="1"/>
      <w:numFmt w:val="bullet"/>
      <w:lvlText w:val="o"/>
      <w:lvlJc w:val="left"/>
      <w:pPr>
        <w:ind w:left="1440" w:hanging="360"/>
      </w:pPr>
      <w:rPr>
        <w:rFonts w:ascii="Courier New" w:hAnsi="Courier New" w:hint="default"/>
      </w:rPr>
    </w:lvl>
    <w:lvl w:ilvl="2" w:tplc="891EAD8E">
      <w:start w:val="1"/>
      <w:numFmt w:val="bullet"/>
      <w:lvlText w:val=""/>
      <w:lvlJc w:val="left"/>
      <w:pPr>
        <w:ind w:left="2160" w:hanging="360"/>
      </w:pPr>
      <w:rPr>
        <w:rFonts w:ascii="Wingdings" w:hAnsi="Wingdings" w:hint="default"/>
      </w:rPr>
    </w:lvl>
    <w:lvl w:ilvl="3" w:tplc="D196EAB0">
      <w:start w:val="1"/>
      <w:numFmt w:val="bullet"/>
      <w:lvlText w:val=""/>
      <w:lvlJc w:val="left"/>
      <w:pPr>
        <w:ind w:left="2880" w:hanging="360"/>
      </w:pPr>
      <w:rPr>
        <w:rFonts w:ascii="Symbol" w:hAnsi="Symbol" w:hint="default"/>
      </w:rPr>
    </w:lvl>
    <w:lvl w:ilvl="4" w:tplc="27962938">
      <w:start w:val="1"/>
      <w:numFmt w:val="bullet"/>
      <w:lvlText w:val="o"/>
      <w:lvlJc w:val="left"/>
      <w:pPr>
        <w:ind w:left="3600" w:hanging="360"/>
      </w:pPr>
      <w:rPr>
        <w:rFonts w:ascii="Courier New" w:hAnsi="Courier New" w:hint="default"/>
      </w:rPr>
    </w:lvl>
    <w:lvl w:ilvl="5" w:tplc="BD18D6AC">
      <w:start w:val="1"/>
      <w:numFmt w:val="bullet"/>
      <w:lvlText w:val=""/>
      <w:lvlJc w:val="left"/>
      <w:pPr>
        <w:ind w:left="4320" w:hanging="360"/>
      </w:pPr>
      <w:rPr>
        <w:rFonts w:ascii="Wingdings" w:hAnsi="Wingdings" w:hint="default"/>
      </w:rPr>
    </w:lvl>
    <w:lvl w:ilvl="6" w:tplc="42C26834">
      <w:start w:val="1"/>
      <w:numFmt w:val="bullet"/>
      <w:lvlText w:val=""/>
      <w:lvlJc w:val="left"/>
      <w:pPr>
        <w:ind w:left="5040" w:hanging="360"/>
      </w:pPr>
      <w:rPr>
        <w:rFonts w:ascii="Symbol" w:hAnsi="Symbol" w:hint="default"/>
      </w:rPr>
    </w:lvl>
    <w:lvl w:ilvl="7" w:tplc="F2A662C6">
      <w:start w:val="1"/>
      <w:numFmt w:val="bullet"/>
      <w:lvlText w:val="o"/>
      <w:lvlJc w:val="left"/>
      <w:pPr>
        <w:ind w:left="5760" w:hanging="360"/>
      </w:pPr>
      <w:rPr>
        <w:rFonts w:ascii="Courier New" w:hAnsi="Courier New" w:hint="default"/>
      </w:rPr>
    </w:lvl>
    <w:lvl w:ilvl="8" w:tplc="CA1E91B4">
      <w:start w:val="1"/>
      <w:numFmt w:val="bullet"/>
      <w:lvlText w:val=""/>
      <w:lvlJc w:val="left"/>
      <w:pPr>
        <w:ind w:left="6480" w:hanging="360"/>
      </w:pPr>
      <w:rPr>
        <w:rFonts w:ascii="Wingdings" w:hAnsi="Wingdings" w:hint="default"/>
      </w:rPr>
    </w:lvl>
  </w:abstractNum>
  <w:abstractNum w:abstractNumId="4" w15:restartNumberingAfterBreak="0">
    <w:nsid w:val="281855FD"/>
    <w:multiLevelType w:val="hybridMultilevel"/>
    <w:tmpl w:val="9636FA3A"/>
    <w:lvl w:ilvl="0" w:tplc="2DC2DC44">
      <w:start w:val="1"/>
      <w:numFmt w:val="decimal"/>
      <w:pStyle w:val="Rubrik2"/>
      <w:lvlText w:val="%1."/>
      <w:lvlJc w:val="left"/>
      <w:pPr>
        <w:ind w:left="720" w:hanging="360"/>
      </w:pPr>
    </w:lvl>
    <w:lvl w:ilvl="1" w:tplc="05387C02">
      <w:start w:val="1"/>
      <w:numFmt w:val="lowerLetter"/>
      <w:lvlText w:val="%2."/>
      <w:lvlJc w:val="left"/>
      <w:pPr>
        <w:ind w:left="1440" w:hanging="360"/>
      </w:pPr>
    </w:lvl>
    <w:lvl w:ilvl="2" w:tplc="BB6A7AAA">
      <w:start w:val="1"/>
      <w:numFmt w:val="lowerRoman"/>
      <w:lvlText w:val="%3."/>
      <w:lvlJc w:val="right"/>
      <w:pPr>
        <w:ind w:left="2160" w:hanging="180"/>
      </w:pPr>
    </w:lvl>
    <w:lvl w:ilvl="3" w:tplc="603435D6">
      <w:start w:val="1"/>
      <w:numFmt w:val="decimal"/>
      <w:lvlText w:val="%4."/>
      <w:lvlJc w:val="left"/>
      <w:pPr>
        <w:ind w:left="2880" w:hanging="360"/>
      </w:pPr>
    </w:lvl>
    <w:lvl w:ilvl="4" w:tplc="8842D302">
      <w:start w:val="1"/>
      <w:numFmt w:val="lowerLetter"/>
      <w:lvlText w:val="%5."/>
      <w:lvlJc w:val="left"/>
      <w:pPr>
        <w:ind w:left="3600" w:hanging="360"/>
      </w:pPr>
    </w:lvl>
    <w:lvl w:ilvl="5" w:tplc="71E036CC">
      <w:start w:val="1"/>
      <w:numFmt w:val="lowerRoman"/>
      <w:lvlText w:val="%6."/>
      <w:lvlJc w:val="right"/>
      <w:pPr>
        <w:ind w:left="4320" w:hanging="180"/>
      </w:pPr>
    </w:lvl>
    <w:lvl w:ilvl="6" w:tplc="7B18D382">
      <w:start w:val="1"/>
      <w:numFmt w:val="decimal"/>
      <w:lvlText w:val="%7."/>
      <w:lvlJc w:val="left"/>
      <w:pPr>
        <w:ind w:left="5040" w:hanging="360"/>
      </w:pPr>
    </w:lvl>
    <w:lvl w:ilvl="7" w:tplc="9984D0CA">
      <w:start w:val="1"/>
      <w:numFmt w:val="lowerLetter"/>
      <w:lvlText w:val="%8."/>
      <w:lvlJc w:val="left"/>
      <w:pPr>
        <w:ind w:left="5760" w:hanging="360"/>
      </w:pPr>
    </w:lvl>
    <w:lvl w:ilvl="8" w:tplc="59AA5E2A">
      <w:start w:val="1"/>
      <w:numFmt w:val="lowerRoman"/>
      <w:lvlText w:val="%9."/>
      <w:lvlJc w:val="right"/>
      <w:pPr>
        <w:ind w:left="6480" w:hanging="180"/>
      </w:pPr>
    </w:lvl>
  </w:abstractNum>
  <w:abstractNum w:abstractNumId="5" w15:restartNumberingAfterBreak="0">
    <w:nsid w:val="2BEB1CCC"/>
    <w:multiLevelType w:val="hybridMultilevel"/>
    <w:tmpl w:val="CECCEC78"/>
    <w:lvl w:ilvl="0" w:tplc="71FC340C">
      <w:start w:val="1"/>
      <w:numFmt w:val="bullet"/>
      <w:lvlText w:val=""/>
      <w:lvlJc w:val="left"/>
      <w:pPr>
        <w:ind w:left="720" w:hanging="360"/>
      </w:pPr>
      <w:rPr>
        <w:rFonts w:ascii="Symbol" w:hAnsi="Symbol" w:hint="default"/>
      </w:rPr>
    </w:lvl>
    <w:lvl w:ilvl="1" w:tplc="41968B48">
      <w:start w:val="1"/>
      <w:numFmt w:val="bullet"/>
      <w:lvlText w:val="o"/>
      <w:lvlJc w:val="left"/>
      <w:pPr>
        <w:ind w:left="1440" w:hanging="360"/>
      </w:pPr>
      <w:rPr>
        <w:rFonts w:ascii="Courier New" w:hAnsi="Courier New" w:hint="default"/>
      </w:rPr>
    </w:lvl>
    <w:lvl w:ilvl="2" w:tplc="BFC0CE50">
      <w:start w:val="1"/>
      <w:numFmt w:val="bullet"/>
      <w:lvlText w:val=""/>
      <w:lvlJc w:val="left"/>
      <w:pPr>
        <w:ind w:left="2160" w:hanging="360"/>
      </w:pPr>
      <w:rPr>
        <w:rFonts w:ascii="Wingdings" w:hAnsi="Wingdings" w:hint="default"/>
      </w:rPr>
    </w:lvl>
    <w:lvl w:ilvl="3" w:tplc="73BA24D2">
      <w:start w:val="1"/>
      <w:numFmt w:val="bullet"/>
      <w:lvlText w:val=""/>
      <w:lvlJc w:val="left"/>
      <w:pPr>
        <w:ind w:left="2880" w:hanging="360"/>
      </w:pPr>
      <w:rPr>
        <w:rFonts w:ascii="Symbol" w:hAnsi="Symbol" w:hint="default"/>
      </w:rPr>
    </w:lvl>
    <w:lvl w:ilvl="4" w:tplc="EBB6440E">
      <w:start w:val="1"/>
      <w:numFmt w:val="bullet"/>
      <w:lvlText w:val="o"/>
      <w:lvlJc w:val="left"/>
      <w:pPr>
        <w:ind w:left="3600" w:hanging="360"/>
      </w:pPr>
      <w:rPr>
        <w:rFonts w:ascii="Courier New" w:hAnsi="Courier New" w:hint="default"/>
      </w:rPr>
    </w:lvl>
    <w:lvl w:ilvl="5" w:tplc="1D4A1AA0">
      <w:start w:val="1"/>
      <w:numFmt w:val="bullet"/>
      <w:lvlText w:val=""/>
      <w:lvlJc w:val="left"/>
      <w:pPr>
        <w:ind w:left="4320" w:hanging="360"/>
      </w:pPr>
      <w:rPr>
        <w:rFonts w:ascii="Wingdings" w:hAnsi="Wingdings" w:hint="default"/>
      </w:rPr>
    </w:lvl>
    <w:lvl w:ilvl="6" w:tplc="F0580060">
      <w:start w:val="1"/>
      <w:numFmt w:val="bullet"/>
      <w:lvlText w:val=""/>
      <w:lvlJc w:val="left"/>
      <w:pPr>
        <w:ind w:left="5040" w:hanging="360"/>
      </w:pPr>
      <w:rPr>
        <w:rFonts w:ascii="Symbol" w:hAnsi="Symbol" w:hint="default"/>
      </w:rPr>
    </w:lvl>
    <w:lvl w:ilvl="7" w:tplc="ABB60A50">
      <w:start w:val="1"/>
      <w:numFmt w:val="bullet"/>
      <w:lvlText w:val="o"/>
      <w:lvlJc w:val="left"/>
      <w:pPr>
        <w:ind w:left="5760" w:hanging="360"/>
      </w:pPr>
      <w:rPr>
        <w:rFonts w:ascii="Courier New" w:hAnsi="Courier New" w:hint="default"/>
      </w:rPr>
    </w:lvl>
    <w:lvl w:ilvl="8" w:tplc="E2BCE2D6">
      <w:start w:val="1"/>
      <w:numFmt w:val="bullet"/>
      <w:lvlText w:val=""/>
      <w:lvlJc w:val="left"/>
      <w:pPr>
        <w:ind w:left="6480" w:hanging="360"/>
      </w:pPr>
      <w:rPr>
        <w:rFonts w:ascii="Wingdings" w:hAnsi="Wingdings" w:hint="default"/>
      </w:rPr>
    </w:lvl>
  </w:abstractNum>
  <w:abstractNum w:abstractNumId="6" w15:restartNumberingAfterBreak="0">
    <w:nsid w:val="2D124AF0"/>
    <w:multiLevelType w:val="hybridMultilevel"/>
    <w:tmpl w:val="53A4559C"/>
    <w:lvl w:ilvl="0" w:tplc="C3B0BB68">
      <w:start w:val="1"/>
      <w:numFmt w:val="bullet"/>
      <w:lvlText w:val="-"/>
      <w:lvlJc w:val="left"/>
      <w:pPr>
        <w:ind w:left="720" w:hanging="360"/>
      </w:pPr>
      <w:rPr>
        <w:rFonts w:ascii="Calibri" w:hAnsi="Calibri" w:hint="default"/>
      </w:rPr>
    </w:lvl>
    <w:lvl w:ilvl="1" w:tplc="191E1952">
      <w:start w:val="1"/>
      <w:numFmt w:val="bullet"/>
      <w:lvlText w:val="o"/>
      <w:lvlJc w:val="left"/>
      <w:pPr>
        <w:ind w:left="1440" w:hanging="360"/>
      </w:pPr>
      <w:rPr>
        <w:rFonts w:ascii="Courier New" w:hAnsi="Courier New" w:hint="default"/>
      </w:rPr>
    </w:lvl>
    <w:lvl w:ilvl="2" w:tplc="BB16E21A">
      <w:start w:val="1"/>
      <w:numFmt w:val="bullet"/>
      <w:lvlText w:val=""/>
      <w:lvlJc w:val="left"/>
      <w:pPr>
        <w:ind w:left="2160" w:hanging="360"/>
      </w:pPr>
      <w:rPr>
        <w:rFonts w:ascii="Wingdings" w:hAnsi="Wingdings" w:hint="default"/>
      </w:rPr>
    </w:lvl>
    <w:lvl w:ilvl="3" w:tplc="867234A4">
      <w:start w:val="1"/>
      <w:numFmt w:val="bullet"/>
      <w:lvlText w:val=""/>
      <w:lvlJc w:val="left"/>
      <w:pPr>
        <w:ind w:left="2880" w:hanging="360"/>
      </w:pPr>
      <w:rPr>
        <w:rFonts w:ascii="Symbol" w:hAnsi="Symbol" w:hint="default"/>
      </w:rPr>
    </w:lvl>
    <w:lvl w:ilvl="4" w:tplc="E5707E7E">
      <w:start w:val="1"/>
      <w:numFmt w:val="bullet"/>
      <w:lvlText w:val="o"/>
      <w:lvlJc w:val="left"/>
      <w:pPr>
        <w:ind w:left="3600" w:hanging="360"/>
      </w:pPr>
      <w:rPr>
        <w:rFonts w:ascii="Courier New" w:hAnsi="Courier New" w:hint="default"/>
      </w:rPr>
    </w:lvl>
    <w:lvl w:ilvl="5" w:tplc="2D9067F8">
      <w:start w:val="1"/>
      <w:numFmt w:val="bullet"/>
      <w:lvlText w:val=""/>
      <w:lvlJc w:val="left"/>
      <w:pPr>
        <w:ind w:left="4320" w:hanging="360"/>
      </w:pPr>
      <w:rPr>
        <w:rFonts w:ascii="Wingdings" w:hAnsi="Wingdings" w:hint="default"/>
      </w:rPr>
    </w:lvl>
    <w:lvl w:ilvl="6" w:tplc="24D4514A">
      <w:start w:val="1"/>
      <w:numFmt w:val="bullet"/>
      <w:lvlText w:val=""/>
      <w:lvlJc w:val="left"/>
      <w:pPr>
        <w:ind w:left="5040" w:hanging="360"/>
      </w:pPr>
      <w:rPr>
        <w:rFonts w:ascii="Symbol" w:hAnsi="Symbol" w:hint="default"/>
      </w:rPr>
    </w:lvl>
    <w:lvl w:ilvl="7" w:tplc="F5D0E5F6">
      <w:start w:val="1"/>
      <w:numFmt w:val="bullet"/>
      <w:lvlText w:val="o"/>
      <w:lvlJc w:val="left"/>
      <w:pPr>
        <w:ind w:left="5760" w:hanging="360"/>
      </w:pPr>
      <w:rPr>
        <w:rFonts w:ascii="Courier New" w:hAnsi="Courier New" w:hint="default"/>
      </w:rPr>
    </w:lvl>
    <w:lvl w:ilvl="8" w:tplc="C9BA60B2">
      <w:start w:val="1"/>
      <w:numFmt w:val="bullet"/>
      <w:lvlText w:val=""/>
      <w:lvlJc w:val="left"/>
      <w:pPr>
        <w:ind w:left="6480" w:hanging="360"/>
      </w:pPr>
      <w:rPr>
        <w:rFonts w:ascii="Wingdings" w:hAnsi="Wingdings" w:hint="default"/>
      </w:rPr>
    </w:lvl>
  </w:abstractNum>
  <w:abstractNum w:abstractNumId="7" w15:restartNumberingAfterBreak="0">
    <w:nsid w:val="3AAD4735"/>
    <w:multiLevelType w:val="hybridMultilevel"/>
    <w:tmpl w:val="DADE104A"/>
    <w:lvl w:ilvl="0" w:tplc="5562FB7C">
      <w:start w:val="1"/>
      <w:numFmt w:val="bullet"/>
      <w:lvlText w:val=""/>
      <w:lvlJc w:val="left"/>
      <w:pPr>
        <w:ind w:left="720" w:hanging="360"/>
      </w:pPr>
      <w:rPr>
        <w:rFonts w:ascii="Symbol" w:hAnsi="Symbol" w:hint="default"/>
      </w:rPr>
    </w:lvl>
    <w:lvl w:ilvl="1" w:tplc="576085C6">
      <w:start w:val="1"/>
      <w:numFmt w:val="bullet"/>
      <w:lvlText w:val="o"/>
      <w:lvlJc w:val="left"/>
      <w:pPr>
        <w:ind w:left="1440" w:hanging="360"/>
      </w:pPr>
      <w:rPr>
        <w:rFonts w:ascii="Courier New" w:hAnsi="Courier New" w:hint="default"/>
      </w:rPr>
    </w:lvl>
    <w:lvl w:ilvl="2" w:tplc="7D84A1D6">
      <w:start w:val="1"/>
      <w:numFmt w:val="bullet"/>
      <w:lvlText w:val=""/>
      <w:lvlJc w:val="left"/>
      <w:pPr>
        <w:ind w:left="2160" w:hanging="360"/>
      </w:pPr>
      <w:rPr>
        <w:rFonts w:ascii="Wingdings" w:hAnsi="Wingdings" w:hint="default"/>
      </w:rPr>
    </w:lvl>
    <w:lvl w:ilvl="3" w:tplc="26BEB854">
      <w:start w:val="1"/>
      <w:numFmt w:val="bullet"/>
      <w:lvlText w:val=""/>
      <w:lvlJc w:val="left"/>
      <w:pPr>
        <w:ind w:left="2880" w:hanging="360"/>
      </w:pPr>
      <w:rPr>
        <w:rFonts w:ascii="Symbol" w:hAnsi="Symbol" w:hint="default"/>
      </w:rPr>
    </w:lvl>
    <w:lvl w:ilvl="4" w:tplc="0158E464">
      <w:start w:val="1"/>
      <w:numFmt w:val="bullet"/>
      <w:lvlText w:val="o"/>
      <w:lvlJc w:val="left"/>
      <w:pPr>
        <w:ind w:left="3600" w:hanging="360"/>
      </w:pPr>
      <w:rPr>
        <w:rFonts w:ascii="Courier New" w:hAnsi="Courier New" w:hint="default"/>
      </w:rPr>
    </w:lvl>
    <w:lvl w:ilvl="5" w:tplc="5EA416B0">
      <w:start w:val="1"/>
      <w:numFmt w:val="bullet"/>
      <w:lvlText w:val=""/>
      <w:lvlJc w:val="left"/>
      <w:pPr>
        <w:ind w:left="4320" w:hanging="360"/>
      </w:pPr>
      <w:rPr>
        <w:rFonts w:ascii="Wingdings" w:hAnsi="Wingdings" w:hint="default"/>
      </w:rPr>
    </w:lvl>
    <w:lvl w:ilvl="6" w:tplc="B5F65746">
      <w:start w:val="1"/>
      <w:numFmt w:val="bullet"/>
      <w:lvlText w:val=""/>
      <w:lvlJc w:val="left"/>
      <w:pPr>
        <w:ind w:left="5040" w:hanging="360"/>
      </w:pPr>
      <w:rPr>
        <w:rFonts w:ascii="Symbol" w:hAnsi="Symbol" w:hint="default"/>
      </w:rPr>
    </w:lvl>
    <w:lvl w:ilvl="7" w:tplc="89E0FACE">
      <w:start w:val="1"/>
      <w:numFmt w:val="bullet"/>
      <w:lvlText w:val="o"/>
      <w:lvlJc w:val="left"/>
      <w:pPr>
        <w:ind w:left="5760" w:hanging="360"/>
      </w:pPr>
      <w:rPr>
        <w:rFonts w:ascii="Courier New" w:hAnsi="Courier New" w:hint="default"/>
      </w:rPr>
    </w:lvl>
    <w:lvl w:ilvl="8" w:tplc="615684A4">
      <w:start w:val="1"/>
      <w:numFmt w:val="bullet"/>
      <w:lvlText w:val=""/>
      <w:lvlJc w:val="left"/>
      <w:pPr>
        <w:ind w:left="6480" w:hanging="360"/>
      </w:pPr>
      <w:rPr>
        <w:rFonts w:ascii="Wingdings" w:hAnsi="Wingdings" w:hint="default"/>
      </w:rPr>
    </w:lvl>
  </w:abstractNum>
  <w:abstractNum w:abstractNumId="8" w15:restartNumberingAfterBreak="0">
    <w:nsid w:val="3BF60921"/>
    <w:multiLevelType w:val="hybridMultilevel"/>
    <w:tmpl w:val="EF3EE030"/>
    <w:lvl w:ilvl="0" w:tplc="3C840D1A">
      <w:start w:val="1"/>
      <w:numFmt w:val="decimal"/>
      <w:lvlText w:val="%1."/>
      <w:lvlJc w:val="left"/>
      <w:pPr>
        <w:ind w:left="720" w:hanging="360"/>
      </w:pPr>
    </w:lvl>
    <w:lvl w:ilvl="1" w:tplc="E9CA9E88">
      <w:start w:val="1"/>
      <w:numFmt w:val="lowerLetter"/>
      <w:lvlText w:val="%2."/>
      <w:lvlJc w:val="left"/>
      <w:pPr>
        <w:ind w:left="1440" w:hanging="360"/>
      </w:pPr>
    </w:lvl>
    <w:lvl w:ilvl="2" w:tplc="6A8602AA">
      <w:start w:val="1"/>
      <w:numFmt w:val="lowerRoman"/>
      <w:lvlText w:val="%3."/>
      <w:lvlJc w:val="right"/>
      <w:pPr>
        <w:ind w:left="2160" w:hanging="180"/>
      </w:pPr>
    </w:lvl>
    <w:lvl w:ilvl="3" w:tplc="727456FE">
      <w:start w:val="1"/>
      <w:numFmt w:val="decimal"/>
      <w:lvlText w:val="%4."/>
      <w:lvlJc w:val="left"/>
      <w:pPr>
        <w:ind w:left="2880" w:hanging="360"/>
      </w:pPr>
    </w:lvl>
    <w:lvl w:ilvl="4" w:tplc="D9A2D98A">
      <w:start w:val="1"/>
      <w:numFmt w:val="lowerLetter"/>
      <w:lvlText w:val="%5."/>
      <w:lvlJc w:val="left"/>
      <w:pPr>
        <w:ind w:left="3600" w:hanging="360"/>
      </w:pPr>
    </w:lvl>
    <w:lvl w:ilvl="5" w:tplc="24B45A44">
      <w:start w:val="1"/>
      <w:numFmt w:val="lowerRoman"/>
      <w:lvlText w:val="%6."/>
      <w:lvlJc w:val="right"/>
      <w:pPr>
        <w:ind w:left="4320" w:hanging="180"/>
      </w:pPr>
    </w:lvl>
    <w:lvl w:ilvl="6" w:tplc="43B4DC84">
      <w:start w:val="1"/>
      <w:numFmt w:val="decimal"/>
      <w:lvlText w:val="%7."/>
      <w:lvlJc w:val="left"/>
      <w:pPr>
        <w:ind w:left="5040" w:hanging="360"/>
      </w:pPr>
    </w:lvl>
    <w:lvl w:ilvl="7" w:tplc="65BECB36">
      <w:start w:val="1"/>
      <w:numFmt w:val="lowerLetter"/>
      <w:lvlText w:val="%8."/>
      <w:lvlJc w:val="left"/>
      <w:pPr>
        <w:ind w:left="5760" w:hanging="360"/>
      </w:pPr>
    </w:lvl>
    <w:lvl w:ilvl="8" w:tplc="75F0FD26">
      <w:start w:val="1"/>
      <w:numFmt w:val="lowerRoman"/>
      <w:lvlText w:val="%9."/>
      <w:lvlJc w:val="right"/>
      <w:pPr>
        <w:ind w:left="6480" w:hanging="180"/>
      </w:pPr>
    </w:lvl>
  </w:abstractNum>
  <w:abstractNum w:abstractNumId="9" w15:restartNumberingAfterBreak="0">
    <w:nsid w:val="47D33A67"/>
    <w:multiLevelType w:val="hybridMultilevel"/>
    <w:tmpl w:val="88D86A7A"/>
    <w:lvl w:ilvl="0" w:tplc="3314F970">
      <w:start w:val="1"/>
      <w:numFmt w:val="decimal"/>
      <w:lvlText w:val="%1."/>
      <w:lvlJc w:val="left"/>
      <w:pPr>
        <w:ind w:left="720" w:hanging="360"/>
      </w:pPr>
    </w:lvl>
    <w:lvl w:ilvl="1" w:tplc="F13E5EF6">
      <w:start w:val="1"/>
      <w:numFmt w:val="lowerLetter"/>
      <w:lvlText w:val="%2."/>
      <w:lvlJc w:val="left"/>
      <w:pPr>
        <w:ind w:left="1440" w:hanging="360"/>
      </w:pPr>
    </w:lvl>
    <w:lvl w:ilvl="2" w:tplc="9968B6A0">
      <w:start w:val="1"/>
      <w:numFmt w:val="lowerRoman"/>
      <w:lvlText w:val="%3."/>
      <w:lvlJc w:val="right"/>
      <w:pPr>
        <w:ind w:left="2160" w:hanging="180"/>
      </w:pPr>
    </w:lvl>
    <w:lvl w:ilvl="3" w:tplc="97FC36D8">
      <w:start w:val="1"/>
      <w:numFmt w:val="decimal"/>
      <w:lvlText w:val="%4."/>
      <w:lvlJc w:val="left"/>
      <w:pPr>
        <w:ind w:left="2880" w:hanging="360"/>
      </w:pPr>
    </w:lvl>
    <w:lvl w:ilvl="4" w:tplc="5B646A6C">
      <w:start w:val="1"/>
      <w:numFmt w:val="lowerLetter"/>
      <w:lvlText w:val="%5."/>
      <w:lvlJc w:val="left"/>
      <w:pPr>
        <w:ind w:left="3600" w:hanging="360"/>
      </w:pPr>
    </w:lvl>
    <w:lvl w:ilvl="5" w:tplc="5010D8C0">
      <w:start w:val="1"/>
      <w:numFmt w:val="lowerRoman"/>
      <w:lvlText w:val="%6."/>
      <w:lvlJc w:val="right"/>
      <w:pPr>
        <w:ind w:left="4320" w:hanging="180"/>
      </w:pPr>
    </w:lvl>
    <w:lvl w:ilvl="6" w:tplc="DE40C84A">
      <w:start w:val="1"/>
      <w:numFmt w:val="decimal"/>
      <w:lvlText w:val="%7."/>
      <w:lvlJc w:val="left"/>
      <w:pPr>
        <w:ind w:left="5040" w:hanging="360"/>
      </w:pPr>
    </w:lvl>
    <w:lvl w:ilvl="7" w:tplc="37E4AF50">
      <w:start w:val="1"/>
      <w:numFmt w:val="lowerLetter"/>
      <w:lvlText w:val="%8."/>
      <w:lvlJc w:val="left"/>
      <w:pPr>
        <w:ind w:left="5760" w:hanging="360"/>
      </w:pPr>
    </w:lvl>
    <w:lvl w:ilvl="8" w:tplc="048CE14A">
      <w:start w:val="1"/>
      <w:numFmt w:val="lowerRoman"/>
      <w:lvlText w:val="%9."/>
      <w:lvlJc w:val="right"/>
      <w:pPr>
        <w:ind w:left="6480" w:hanging="180"/>
      </w:pPr>
    </w:lvl>
  </w:abstractNum>
  <w:abstractNum w:abstractNumId="10" w15:restartNumberingAfterBreak="0">
    <w:nsid w:val="57743EB0"/>
    <w:multiLevelType w:val="hybridMultilevel"/>
    <w:tmpl w:val="5B38F020"/>
    <w:lvl w:ilvl="0" w:tplc="ACB8B946">
      <w:start w:val="1"/>
      <w:numFmt w:val="bullet"/>
      <w:lvlText w:val=""/>
      <w:lvlJc w:val="left"/>
      <w:pPr>
        <w:ind w:left="720" w:hanging="360"/>
      </w:pPr>
      <w:rPr>
        <w:rFonts w:ascii="Symbol" w:hAnsi="Symbol" w:hint="default"/>
      </w:rPr>
    </w:lvl>
    <w:lvl w:ilvl="1" w:tplc="374CA97A">
      <w:start w:val="1"/>
      <w:numFmt w:val="bullet"/>
      <w:lvlText w:val="o"/>
      <w:lvlJc w:val="left"/>
      <w:pPr>
        <w:ind w:left="1440" w:hanging="360"/>
      </w:pPr>
      <w:rPr>
        <w:rFonts w:ascii="Courier New" w:hAnsi="Courier New" w:hint="default"/>
      </w:rPr>
    </w:lvl>
    <w:lvl w:ilvl="2" w:tplc="1FB6FD6E">
      <w:start w:val="1"/>
      <w:numFmt w:val="bullet"/>
      <w:lvlText w:val=""/>
      <w:lvlJc w:val="left"/>
      <w:pPr>
        <w:ind w:left="2160" w:hanging="360"/>
      </w:pPr>
      <w:rPr>
        <w:rFonts w:ascii="Wingdings" w:hAnsi="Wingdings" w:hint="default"/>
      </w:rPr>
    </w:lvl>
    <w:lvl w:ilvl="3" w:tplc="147664E6">
      <w:start w:val="1"/>
      <w:numFmt w:val="bullet"/>
      <w:lvlText w:val=""/>
      <w:lvlJc w:val="left"/>
      <w:pPr>
        <w:ind w:left="2880" w:hanging="360"/>
      </w:pPr>
      <w:rPr>
        <w:rFonts w:ascii="Symbol" w:hAnsi="Symbol" w:hint="default"/>
      </w:rPr>
    </w:lvl>
    <w:lvl w:ilvl="4" w:tplc="3372163C">
      <w:start w:val="1"/>
      <w:numFmt w:val="bullet"/>
      <w:lvlText w:val="o"/>
      <w:lvlJc w:val="left"/>
      <w:pPr>
        <w:ind w:left="3600" w:hanging="360"/>
      </w:pPr>
      <w:rPr>
        <w:rFonts w:ascii="Courier New" w:hAnsi="Courier New" w:hint="default"/>
      </w:rPr>
    </w:lvl>
    <w:lvl w:ilvl="5" w:tplc="54222BD8">
      <w:start w:val="1"/>
      <w:numFmt w:val="bullet"/>
      <w:lvlText w:val=""/>
      <w:lvlJc w:val="left"/>
      <w:pPr>
        <w:ind w:left="4320" w:hanging="360"/>
      </w:pPr>
      <w:rPr>
        <w:rFonts w:ascii="Wingdings" w:hAnsi="Wingdings" w:hint="default"/>
      </w:rPr>
    </w:lvl>
    <w:lvl w:ilvl="6" w:tplc="8CFAC376">
      <w:start w:val="1"/>
      <w:numFmt w:val="bullet"/>
      <w:lvlText w:val=""/>
      <w:lvlJc w:val="left"/>
      <w:pPr>
        <w:ind w:left="5040" w:hanging="360"/>
      </w:pPr>
      <w:rPr>
        <w:rFonts w:ascii="Symbol" w:hAnsi="Symbol" w:hint="default"/>
      </w:rPr>
    </w:lvl>
    <w:lvl w:ilvl="7" w:tplc="390E3748">
      <w:start w:val="1"/>
      <w:numFmt w:val="bullet"/>
      <w:lvlText w:val="o"/>
      <w:lvlJc w:val="left"/>
      <w:pPr>
        <w:ind w:left="5760" w:hanging="360"/>
      </w:pPr>
      <w:rPr>
        <w:rFonts w:ascii="Courier New" w:hAnsi="Courier New" w:hint="default"/>
      </w:rPr>
    </w:lvl>
    <w:lvl w:ilvl="8" w:tplc="4268EC76">
      <w:start w:val="1"/>
      <w:numFmt w:val="bullet"/>
      <w:lvlText w:val=""/>
      <w:lvlJc w:val="left"/>
      <w:pPr>
        <w:ind w:left="6480" w:hanging="360"/>
      </w:pPr>
      <w:rPr>
        <w:rFonts w:ascii="Wingdings" w:hAnsi="Wingdings" w:hint="default"/>
      </w:rPr>
    </w:lvl>
  </w:abstractNum>
  <w:abstractNum w:abstractNumId="11" w15:restartNumberingAfterBreak="0">
    <w:nsid w:val="62691070"/>
    <w:multiLevelType w:val="hybridMultilevel"/>
    <w:tmpl w:val="7A22EC4E"/>
    <w:lvl w:ilvl="0" w:tplc="F72E23E8">
      <w:start w:val="1"/>
      <w:numFmt w:val="decimal"/>
      <w:lvlText w:val="%1."/>
      <w:lvlJc w:val="left"/>
      <w:pPr>
        <w:ind w:left="720" w:hanging="360"/>
      </w:pPr>
    </w:lvl>
    <w:lvl w:ilvl="1" w:tplc="E036FB3C">
      <w:start w:val="1"/>
      <w:numFmt w:val="lowerLetter"/>
      <w:lvlText w:val="%2."/>
      <w:lvlJc w:val="left"/>
      <w:pPr>
        <w:ind w:left="1440" w:hanging="360"/>
      </w:pPr>
    </w:lvl>
    <w:lvl w:ilvl="2" w:tplc="C3067990">
      <w:start w:val="1"/>
      <w:numFmt w:val="lowerRoman"/>
      <w:lvlText w:val="%3."/>
      <w:lvlJc w:val="right"/>
      <w:pPr>
        <w:ind w:left="2160" w:hanging="180"/>
      </w:pPr>
    </w:lvl>
    <w:lvl w:ilvl="3" w:tplc="2E585288">
      <w:start w:val="1"/>
      <w:numFmt w:val="decimal"/>
      <w:lvlText w:val="%4."/>
      <w:lvlJc w:val="left"/>
      <w:pPr>
        <w:ind w:left="2880" w:hanging="360"/>
      </w:pPr>
    </w:lvl>
    <w:lvl w:ilvl="4" w:tplc="8FEE3F5C">
      <w:start w:val="1"/>
      <w:numFmt w:val="lowerLetter"/>
      <w:lvlText w:val="%5."/>
      <w:lvlJc w:val="left"/>
      <w:pPr>
        <w:ind w:left="3600" w:hanging="360"/>
      </w:pPr>
    </w:lvl>
    <w:lvl w:ilvl="5" w:tplc="1820E990">
      <w:start w:val="1"/>
      <w:numFmt w:val="lowerRoman"/>
      <w:lvlText w:val="%6."/>
      <w:lvlJc w:val="right"/>
      <w:pPr>
        <w:ind w:left="4320" w:hanging="180"/>
      </w:pPr>
    </w:lvl>
    <w:lvl w:ilvl="6" w:tplc="EAC08964">
      <w:start w:val="1"/>
      <w:numFmt w:val="decimal"/>
      <w:lvlText w:val="%7."/>
      <w:lvlJc w:val="left"/>
      <w:pPr>
        <w:ind w:left="5040" w:hanging="360"/>
      </w:pPr>
    </w:lvl>
    <w:lvl w:ilvl="7" w:tplc="48CE78CA">
      <w:start w:val="1"/>
      <w:numFmt w:val="lowerLetter"/>
      <w:lvlText w:val="%8."/>
      <w:lvlJc w:val="left"/>
      <w:pPr>
        <w:ind w:left="5760" w:hanging="360"/>
      </w:pPr>
    </w:lvl>
    <w:lvl w:ilvl="8" w:tplc="50CCFF36">
      <w:start w:val="1"/>
      <w:numFmt w:val="lowerRoman"/>
      <w:lvlText w:val="%9."/>
      <w:lvlJc w:val="right"/>
      <w:pPr>
        <w:ind w:left="6480" w:hanging="180"/>
      </w:pPr>
    </w:lvl>
  </w:abstractNum>
  <w:abstractNum w:abstractNumId="12" w15:restartNumberingAfterBreak="0">
    <w:nsid w:val="67212F5F"/>
    <w:multiLevelType w:val="hybridMultilevel"/>
    <w:tmpl w:val="2D7C42F2"/>
    <w:lvl w:ilvl="0" w:tplc="C3A4FC96">
      <w:start w:val="1"/>
      <w:numFmt w:val="decimal"/>
      <w:lvlText w:val="%1."/>
      <w:lvlJc w:val="left"/>
      <w:pPr>
        <w:ind w:left="720" w:hanging="360"/>
      </w:pPr>
    </w:lvl>
    <w:lvl w:ilvl="1" w:tplc="8F24E62A">
      <w:start w:val="1"/>
      <w:numFmt w:val="lowerLetter"/>
      <w:lvlText w:val="%2."/>
      <w:lvlJc w:val="left"/>
      <w:pPr>
        <w:ind w:left="1440" w:hanging="360"/>
      </w:pPr>
    </w:lvl>
    <w:lvl w:ilvl="2" w:tplc="7A32307A">
      <w:start w:val="1"/>
      <w:numFmt w:val="lowerRoman"/>
      <w:lvlText w:val="%3."/>
      <w:lvlJc w:val="right"/>
      <w:pPr>
        <w:ind w:left="2160" w:hanging="180"/>
      </w:pPr>
    </w:lvl>
    <w:lvl w:ilvl="3" w:tplc="2C04FF4C">
      <w:start w:val="1"/>
      <w:numFmt w:val="decimal"/>
      <w:lvlText w:val="%4."/>
      <w:lvlJc w:val="left"/>
      <w:pPr>
        <w:ind w:left="2880" w:hanging="360"/>
      </w:pPr>
    </w:lvl>
    <w:lvl w:ilvl="4" w:tplc="A27E2FBA">
      <w:start w:val="1"/>
      <w:numFmt w:val="lowerLetter"/>
      <w:lvlText w:val="%5."/>
      <w:lvlJc w:val="left"/>
      <w:pPr>
        <w:ind w:left="3600" w:hanging="360"/>
      </w:pPr>
    </w:lvl>
    <w:lvl w:ilvl="5" w:tplc="41F25768">
      <w:start w:val="1"/>
      <w:numFmt w:val="lowerRoman"/>
      <w:lvlText w:val="%6."/>
      <w:lvlJc w:val="right"/>
      <w:pPr>
        <w:ind w:left="4320" w:hanging="180"/>
      </w:pPr>
    </w:lvl>
    <w:lvl w:ilvl="6" w:tplc="9C282E32">
      <w:start w:val="1"/>
      <w:numFmt w:val="decimal"/>
      <w:lvlText w:val="%7."/>
      <w:lvlJc w:val="left"/>
      <w:pPr>
        <w:ind w:left="5040" w:hanging="360"/>
      </w:pPr>
    </w:lvl>
    <w:lvl w:ilvl="7" w:tplc="7826AF64">
      <w:start w:val="1"/>
      <w:numFmt w:val="lowerLetter"/>
      <w:lvlText w:val="%8."/>
      <w:lvlJc w:val="left"/>
      <w:pPr>
        <w:ind w:left="5760" w:hanging="360"/>
      </w:pPr>
    </w:lvl>
    <w:lvl w:ilvl="8" w:tplc="17F800BE">
      <w:start w:val="1"/>
      <w:numFmt w:val="lowerRoman"/>
      <w:lvlText w:val="%9."/>
      <w:lvlJc w:val="right"/>
      <w:pPr>
        <w:ind w:left="6480" w:hanging="180"/>
      </w:pPr>
    </w:lvl>
  </w:abstractNum>
  <w:abstractNum w:abstractNumId="13" w15:restartNumberingAfterBreak="0">
    <w:nsid w:val="6A091C87"/>
    <w:multiLevelType w:val="hybridMultilevel"/>
    <w:tmpl w:val="5122022A"/>
    <w:lvl w:ilvl="0" w:tplc="53DA47D6">
      <w:start w:val="1"/>
      <w:numFmt w:val="bullet"/>
      <w:lvlText w:val=""/>
      <w:lvlJc w:val="left"/>
      <w:pPr>
        <w:ind w:left="720" w:hanging="360"/>
      </w:pPr>
      <w:rPr>
        <w:rFonts w:ascii="Symbol" w:hAnsi="Symbol" w:hint="default"/>
      </w:rPr>
    </w:lvl>
    <w:lvl w:ilvl="1" w:tplc="3E0CBB8C">
      <w:start w:val="1"/>
      <w:numFmt w:val="bullet"/>
      <w:lvlText w:val="o"/>
      <w:lvlJc w:val="left"/>
      <w:pPr>
        <w:ind w:left="1440" w:hanging="360"/>
      </w:pPr>
      <w:rPr>
        <w:rFonts w:ascii="Courier New" w:hAnsi="Courier New" w:hint="default"/>
      </w:rPr>
    </w:lvl>
    <w:lvl w:ilvl="2" w:tplc="77F43492">
      <w:start w:val="1"/>
      <w:numFmt w:val="bullet"/>
      <w:lvlText w:val=""/>
      <w:lvlJc w:val="left"/>
      <w:pPr>
        <w:ind w:left="2160" w:hanging="360"/>
      </w:pPr>
      <w:rPr>
        <w:rFonts w:ascii="Wingdings" w:hAnsi="Wingdings" w:hint="default"/>
      </w:rPr>
    </w:lvl>
    <w:lvl w:ilvl="3" w:tplc="0FF81B98">
      <w:start w:val="1"/>
      <w:numFmt w:val="bullet"/>
      <w:lvlText w:val=""/>
      <w:lvlJc w:val="left"/>
      <w:pPr>
        <w:ind w:left="2880" w:hanging="360"/>
      </w:pPr>
      <w:rPr>
        <w:rFonts w:ascii="Symbol" w:hAnsi="Symbol" w:hint="default"/>
      </w:rPr>
    </w:lvl>
    <w:lvl w:ilvl="4" w:tplc="04602DD4">
      <w:start w:val="1"/>
      <w:numFmt w:val="bullet"/>
      <w:lvlText w:val="o"/>
      <w:lvlJc w:val="left"/>
      <w:pPr>
        <w:ind w:left="3600" w:hanging="360"/>
      </w:pPr>
      <w:rPr>
        <w:rFonts w:ascii="Courier New" w:hAnsi="Courier New" w:hint="default"/>
      </w:rPr>
    </w:lvl>
    <w:lvl w:ilvl="5" w:tplc="95E4CAA4">
      <w:start w:val="1"/>
      <w:numFmt w:val="bullet"/>
      <w:lvlText w:val=""/>
      <w:lvlJc w:val="left"/>
      <w:pPr>
        <w:ind w:left="4320" w:hanging="360"/>
      </w:pPr>
      <w:rPr>
        <w:rFonts w:ascii="Wingdings" w:hAnsi="Wingdings" w:hint="default"/>
      </w:rPr>
    </w:lvl>
    <w:lvl w:ilvl="6" w:tplc="AB36B22E">
      <w:start w:val="1"/>
      <w:numFmt w:val="bullet"/>
      <w:lvlText w:val=""/>
      <w:lvlJc w:val="left"/>
      <w:pPr>
        <w:ind w:left="5040" w:hanging="360"/>
      </w:pPr>
      <w:rPr>
        <w:rFonts w:ascii="Symbol" w:hAnsi="Symbol" w:hint="default"/>
      </w:rPr>
    </w:lvl>
    <w:lvl w:ilvl="7" w:tplc="3A02DA06">
      <w:start w:val="1"/>
      <w:numFmt w:val="bullet"/>
      <w:lvlText w:val="o"/>
      <w:lvlJc w:val="left"/>
      <w:pPr>
        <w:ind w:left="5760" w:hanging="360"/>
      </w:pPr>
      <w:rPr>
        <w:rFonts w:ascii="Courier New" w:hAnsi="Courier New" w:hint="default"/>
      </w:rPr>
    </w:lvl>
    <w:lvl w:ilvl="8" w:tplc="D67CCED4">
      <w:start w:val="1"/>
      <w:numFmt w:val="bullet"/>
      <w:lvlText w:val=""/>
      <w:lvlJc w:val="left"/>
      <w:pPr>
        <w:ind w:left="6480" w:hanging="360"/>
      </w:pPr>
      <w:rPr>
        <w:rFonts w:ascii="Wingdings" w:hAnsi="Wingdings" w:hint="default"/>
      </w:rPr>
    </w:lvl>
  </w:abstractNum>
  <w:abstractNum w:abstractNumId="14" w15:restartNumberingAfterBreak="0">
    <w:nsid w:val="71ED5F6D"/>
    <w:multiLevelType w:val="hybridMultilevel"/>
    <w:tmpl w:val="594887C4"/>
    <w:lvl w:ilvl="0" w:tplc="0FEC26D8">
      <w:start w:val="1"/>
      <w:numFmt w:val="bullet"/>
      <w:lvlText w:val=""/>
      <w:lvlJc w:val="left"/>
      <w:pPr>
        <w:ind w:left="720" w:hanging="360"/>
      </w:pPr>
      <w:rPr>
        <w:rFonts w:ascii="Symbol" w:hAnsi="Symbol" w:hint="default"/>
      </w:rPr>
    </w:lvl>
    <w:lvl w:ilvl="1" w:tplc="906CF2FA">
      <w:start w:val="1"/>
      <w:numFmt w:val="bullet"/>
      <w:lvlText w:val="o"/>
      <w:lvlJc w:val="left"/>
      <w:pPr>
        <w:ind w:left="1440" w:hanging="360"/>
      </w:pPr>
      <w:rPr>
        <w:rFonts w:ascii="Courier New" w:hAnsi="Courier New" w:hint="default"/>
      </w:rPr>
    </w:lvl>
    <w:lvl w:ilvl="2" w:tplc="EC0C08DC">
      <w:start w:val="1"/>
      <w:numFmt w:val="bullet"/>
      <w:lvlText w:val=""/>
      <w:lvlJc w:val="left"/>
      <w:pPr>
        <w:ind w:left="2160" w:hanging="360"/>
      </w:pPr>
      <w:rPr>
        <w:rFonts w:ascii="Wingdings" w:hAnsi="Wingdings" w:hint="default"/>
      </w:rPr>
    </w:lvl>
    <w:lvl w:ilvl="3" w:tplc="62502C90">
      <w:start w:val="1"/>
      <w:numFmt w:val="bullet"/>
      <w:lvlText w:val=""/>
      <w:lvlJc w:val="left"/>
      <w:pPr>
        <w:ind w:left="2880" w:hanging="360"/>
      </w:pPr>
      <w:rPr>
        <w:rFonts w:ascii="Symbol" w:hAnsi="Symbol" w:hint="default"/>
      </w:rPr>
    </w:lvl>
    <w:lvl w:ilvl="4" w:tplc="F62A551A">
      <w:start w:val="1"/>
      <w:numFmt w:val="bullet"/>
      <w:lvlText w:val="o"/>
      <w:lvlJc w:val="left"/>
      <w:pPr>
        <w:ind w:left="3600" w:hanging="360"/>
      </w:pPr>
      <w:rPr>
        <w:rFonts w:ascii="Courier New" w:hAnsi="Courier New" w:hint="default"/>
      </w:rPr>
    </w:lvl>
    <w:lvl w:ilvl="5" w:tplc="43F43CE6">
      <w:start w:val="1"/>
      <w:numFmt w:val="bullet"/>
      <w:lvlText w:val=""/>
      <w:lvlJc w:val="left"/>
      <w:pPr>
        <w:ind w:left="4320" w:hanging="360"/>
      </w:pPr>
      <w:rPr>
        <w:rFonts w:ascii="Wingdings" w:hAnsi="Wingdings" w:hint="default"/>
      </w:rPr>
    </w:lvl>
    <w:lvl w:ilvl="6" w:tplc="91CCE28E">
      <w:start w:val="1"/>
      <w:numFmt w:val="bullet"/>
      <w:lvlText w:val=""/>
      <w:lvlJc w:val="left"/>
      <w:pPr>
        <w:ind w:left="5040" w:hanging="360"/>
      </w:pPr>
      <w:rPr>
        <w:rFonts w:ascii="Symbol" w:hAnsi="Symbol" w:hint="default"/>
      </w:rPr>
    </w:lvl>
    <w:lvl w:ilvl="7" w:tplc="10B65E3C">
      <w:start w:val="1"/>
      <w:numFmt w:val="bullet"/>
      <w:lvlText w:val="o"/>
      <w:lvlJc w:val="left"/>
      <w:pPr>
        <w:ind w:left="5760" w:hanging="360"/>
      </w:pPr>
      <w:rPr>
        <w:rFonts w:ascii="Courier New" w:hAnsi="Courier New" w:hint="default"/>
      </w:rPr>
    </w:lvl>
    <w:lvl w:ilvl="8" w:tplc="BEBA77B0">
      <w:start w:val="1"/>
      <w:numFmt w:val="bullet"/>
      <w:lvlText w:val=""/>
      <w:lvlJc w:val="left"/>
      <w:pPr>
        <w:ind w:left="6480" w:hanging="360"/>
      </w:pPr>
      <w:rPr>
        <w:rFonts w:ascii="Wingdings" w:hAnsi="Wingdings" w:hint="default"/>
      </w:rPr>
    </w:lvl>
  </w:abstractNum>
  <w:abstractNum w:abstractNumId="15" w15:restartNumberingAfterBreak="0">
    <w:nsid w:val="73153692"/>
    <w:multiLevelType w:val="hybridMultilevel"/>
    <w:tmpl w:val="924AB8AE"/>
    <w:lvl w:ilvl="0" w:tplc="9A2C2F24">
      <w:start w:val="1"/>
      <w:numFmt w:val="decimal"/>
      <w:lvlText w:val="%1."/>
      <w:lvlJc w:val="left"/>
      <w:pPr>
        <w:ind w:left="720" w:hanging="360"/>
      </w:pPr>
    </w:lvl>
    <w:lvl w:ilvl="1" w:tplc="BED454BA">
      <w:start w:val="1"/>
      <w:numFmt w:val="lowerLetter"/>
      <w:lvlText w:val="%2."/>
      <w:lvlJc w:val="left"/>
      <w:pPr>
        <w:ind w:left="1440" w:hanging="360"/>
      </w:pPr>
    </w:lvl>
    <w:lvl w:ilvl="2" w:tplc="CA747046">
      <w:start w:val="1"/>
      <w:numFmt w:val="lowerRoman"/>
      <w:lvlText w:val="%3."/>
      <w:lvlJc w:val="right"/>
      <w:pPr>
        <w:ind w:left="2160" w:hanging="180"/>
      </w:pPr>
    </w:lvl>
    <w:lvl w:ilvl="3" w:tplc="9104ACAE">
      <w:start w:val="1"/>
      <w:numFmt w:val="decimal"/>
      <w:lvlText w:val="%4."/>
      <w:lvlJc w:val="left"/>
      <w:pPr>
        <w:ind w:left="2880" w:hanging="360"/>
      </w:pPr>
    </w:lvl>
    <w:lvl w:ilvl="4" w:tplc="27EE2958">
      <w:start w:val="1"/>
      <w:numFmt w:val="lowerLetter"/>
      <w:lvlText w:val="%5."/>
      <w:lvlJc w:val="left"/>
      <w:pPr>
        <w:ind w:left="3600" w:hanging="360"/>
      </w:pPr>
    </w:lvl>
    <w:lvl w:ilvl="5" w:tplc="9440F8B6">
      <w:start w:val="1"/>
      <w:numFmt w:val="lowerRoman"/>
      <w:lvlText w:val="%6."/>
      <w:lvlJc w:val="right"/>
      <w:pPr>
        <w:ind w:left="4320" w:hanging="180"/>
      </w:pPr>
    </w:lvl>
    <w:lvl w:ilvl="6" w:tplc="252C9052">
      <w:start w:val="1"/>
      <w:numFmt w:val="decimal"/>
      <w:lvlText w:val="%7."/>
      <w:lvlJc w:val="left"/>
      <w:pPr>
        <w:ind w:left="5040" w:hanging="360"/>
      </w:pPr>
    </w:lvl>
    <w:lvl w:ilvl="7" w:tplc="3CB8BC7A">
      <w:start w:val="1"/>
      <w:numFmt w:val="lowerLetter"/>
      <w:lvlText w:val="%8."/>
      <w:lvlJc w:val="left"/>
      <w:pPr>
        <w:ind w:left="5760" w:hanging="360"/>
      </w:pPr>
    </w:lvl>
    <w:lvl w:ilvl="8" w:tplc="3C40C0EC">
      <w:start w:val="1"/>
      <w:numFmt w:val="lowerRoman"/>
      <w:lvlText w:val="%9."/>
      <w:lvlJc w:val="right"/>
      <w:pPr>
        <w:ind w:left="6480" w:hanging="180"/>
      </w:pPr>
    </w:lvl>
  </w:abstractNum>
  <w:abstractNum w:abstractNumId="16" w15:restartNumberingAfterBreak="0">
    <w:nsid w:val="7AA277FC"/>
    <w:multiLevelType w:val="hybridMultilevel"/>
    <w:tmpl w:val="A5123418"/>
    <w:lvl w:ilvl="0" w:tplc="D6EA899A">
      <w:start w:val="1"/>
      <w:numFmt w:val="bullet"/>
      <w:lvlText w:val=""/>
      <w:lvlJc w:val="left"/>
      <w:pPr>
        <w:ind w:left="720" w:hanging="360"/>
      </w:pPr>
      <w:rPr>
        <w:rFonts w:ascii="Symbol" w:hAnsi="Symbol" w:hint="default"/>
      </w:rPr>
    </w:lvl>
    <w:lvl w:ilvl="1" w:tplc="419A12E0">
      <w:start w:val="1"/>
      <w:numFmt w:val="bullet"/>
      <w:lvlText w:val="o"/>
      <w:lvlJc w:val="left"/>
      <w:pPr>
        <w:ind w:left="1440" w:hanging="360"/>
      </w:pPr>
      <w:rPr>
        <w:rFonts w:ascii="Courier New" w:hAnsi="Courier New" w:hint="default"/>
      </w:rPr>
    </w:lvl>
    <w:lvl w:ilvl="2" w:tplc="74DA6D80">
      <w:start w:val="1"/>
      <w:numFmt w:val="bullet"/>
      <w:lvlText w:val=""/>
      <w:lvlJc w:val="left"/>
      <w:pPr>
        <w:ind w:left="2160" w:hanging="360"/>
      </w:pPr>
      <w:rPr>
        <w:rFonts w:ascii="Wingdings" w:hAnsi="Wingdings" w:hint="default"/>
      </w:rPr>
    </w:lvl>
    <w:lvl w:ilvl="3" w:tplc="210AE1EA">
      <w:start w:val="1"/>
      <w:numFmt w:val="bullet"/>
      <w:lvlText w:val=""/>
      <w:lvlJc w:val="left"/>
      <w:pPr>
        <w:ind w:left="2880" w:hanging="360"/>
      </w:pPr>
      <w:rPr>
        <w:rFonts w:ascii="Symbol" w:hAnsi="Symbol" w:hint="default"/>
      </w:rPr>
    </w:lvl>
    <w:lvl w:ilvl="4" w:tplc="858018AC">
      <w:start w:val="1"/>
      <w:numFmt w:val="bullet"/>
      <w:lvlText w:val="o"/>
      <w:lvlJc w:val="left"/>
      <w:pPr>
        <w:ind w:left="3600" w:hanging="360"/>
      </w:pPr>
      <w:rPr>
        <w:rFonts w:ascii="Courier New" w:hAnsi="Courier New" w:hint="default"/>
      </w:rPr>
    </w:lvl>
    <w:lvl w:ilvl="5" w:tplc="D71CCF30">
      <w:start w:val="1"/>
      <w:numFmt w:val="bullet"/>
      <w:lvlText w:val=""/>
      <w:lvlJc w:val="left"/>
      <w:pPr>
        <w:ind w:left="4320" w:hanging="360"/>
      </w:pPr>
      <w:rPr>
        <w:rFonts w:ascii="Wingdings" w:hAnsi="Wingdings" w:hint="default"/>
      </w:rPr>
    </w:lvl>
    <w:lvl w:ilvl="6" w:tplc="DC4496EE">
      <w:start w:val="1"/>
      <w:numFmt w:val="bullet"/>
      <w:lvlText w:val=""/>
      <w:lvlJc w:val="left"/>
      <w:pPr>
        <w:ind w:left="5040" w:hanging="360"/>
      </w:pPr>
      <w:rPr>
        <w:rFonts w:ascii="Symbol" w:hAnsi="Symbol" w:hint="default"/>
      </w:rPr>
    </w:lvl>
    <w:lvl w:ilvl="7" w:tplc="ADB47DBC">
      <w:start w:val="1"/>
      <w:numFmt w:val="bullet"/>
      <w:lvlText w:val="o"/>
      <w:lvlJc w:val="left"/>
      <w:pPr>
        <w:ind w:left="5760" w:hanging="360"/>
      </w:pPr>
      <w:rPr>
        <w:rFonts w:ascii="Courier New" w:hAnsi="Courier New" w:hint="default"/>
      </w:rPr>
    </w:lvl>
    <w:lvl w:ilvl="8" w:tplc="2312D978">
      <w:start w:val="1"/>
      <w:numFmt w:val="bullet"/>
      <w:lvlText w:val=""/>
      <w:lvlJc w:val="left"/>
      <w:pPr>
        <w:ind w:left="6480" w:hanging="360"/>
      </w:pPr>
      <w:rPr>
        <w:rFonts w:ascii="Wingdings" w:hAnsi="Wingdings" w:hint="default"/>
      </w:rPr>
    </w:lvl>
  </w:abstractNum>
  <w:abstractNum w:abstractNumId="17" w15:restartNumberingAfterBreak="0">
    <w:nsid w:val="7FAF3BAF"/>
    <w:multiLevelType w:val="hybridMultilevel"/>
    <w:tmpl w:val="E52C70EC"/>
    <w:lvl w:ilvl="0" w:tplc="74A69398">
      <w:start w:val="1"/>
      <w:numFmt w:val="decimal"/>
      <w:lvlText w:val="%1."/>
      <w:lvlJc w:val="left"/>
      <w:pPr>
        <w:ind w:left="720" w:hanging="360"/>
      </w:pPr>
    </w:lvl>
    <w:lvl w:ilvl="1" w:tplc="9168D99E">
      <w:start w:val="1"/>
      <w:numFmt w:val="lowerLetter"/>
      <w:lvlText w:val="%2."/>
      <w:lvlJc w:val="left"/>
      <w:pPr>
        <w:ind w:left="1440" w:hanging="360"/>
      </w:pPr>
    </w:lvl>
    <w:lvl w:ilvl="2" w:tplc="291A0E6A">
      <w:start w:val="1"/>
      <w:numFmt w:val="lowerRoman"/>
      <w:lvlText w:val="%3."/>
      <w:lvlJc w:val="right"/>
      <w:pPr>
        <w:ind w:left="2160" w:hanging="180"/>
      </w:pPr>
    </w:lvl>
    <w:lvl w:ilvl="3" w:tplc="7DACC112">
      <w:start w:val="1"/>
      <w:numFmt w:val="decimal"/>
      <w:lvlText w:val="%4."/>
      <w:lvlJc w:val="left"/>
      <w:pPr>
        <w:ind w:left="2880" w:hanging="360"/>
      </w:pPr>
    </w:lvl>
    <w:lvl w:ilvl="4" w:tplc="5A94662E">
      <w:start w:val="1"/>
      <w:numFmt w:val="lowerLetter"/>
      <w:lvlText w:val="%5."/>
      <w:lvlJc w:val="left"/>
      <w:pPr>
        <w:ind w:left="3600" w:hanging="360"/>
      </w:pPr>
    </w:lvl>
    <w:lvl w:ilvl="5" w:tplc="81CE3560">
      <w:start w:val="1"/>
      <w:numFmt w:val="lowerRoman"/>
      <w:lvlText w:val="%6."/>
      <w:lvlJc w:val="right"/>
      <w:pPr>
        <w:ind w:left="4320" w:hanging="180"/>
      </w:pPr>
    </w:lvl>
    <w:lvl w:ilvl="6" w:tplc="F948DE20">
      <w:start w:val="1"/>
      <w:numFmt w:val="decimal"/>
      <w:lvlText w:val="%7."/>
      <w:lvlJc w:val="left"/>
      <w:pPr>
        <w:ind w:left="5040" w:hanging="360"/>
      </w:pPr>
    </w:lvl>
    <w:lvl w:ilvl="7" w:tplc="F976DF64">
      <w:start w:val="1"/>
      <w:numFmt w:val="lowerLetter"/>
      <w:lvlText w:val="%8."/>
      <w:lvlJc w:val="left"/>
      <w:pPr>
        <w:ind w:left="5760" w:hanging="360"/>
      </w:pPr>
    </w:lvl>
    <w:lvl w:ilvl="8" w:tplc="BB94A336">
      <w:start w:val="1"/>
      <w:numFmt w:val="lowerRoman"/>
      <w:lvlText w:val="%9."/>
      <w:lvlJc w:val="right"/>
      <w:pPr>
        <w:ind w:left="6480" w:hanging="180"/>
      </w:pPr>
    </w:lvl>
  </w:abstractNum>
  <w:num w:numId="1">
    <w:abstractNumId w:val="4"/>
  </w:num>
  <w:num w:numId="2">
    <w:abstractNumId w:val="15"/>
  </w:num>
  <w:num w:numId="3">
    <w:abstractNumId w:val="12"/>
  </w:num>
  <w:num w:numId="4">
    <w:abstractNumId w:val="11"/>
  </w:num>
  <w:num w:numId="5">
    <w:abstractNumId w:val="6"/>
  </w:num>
  <w:num w:numId="6">
    <w:abstractNumId w:val="2"/>
  </w:num>
  <w:num w:numId="7">
    <w:abstractNumId w:val="9"/>
  </w:num>
  <w:num w:numId="8">
    <w:abstractNumId w:val="8"/>
  </w:num>
  <w:num w:numId="9">
    <w:abstractNumId w:val="5"/>
  </w:num>
  <w:num w:numId="10">
    <w:abstractNumId w:val="10"/>
  </w:num>
  <w:num w:numId="11">
    <w:abstractNumId w:val="17"/>
  </w:num>
  <w:num w:numId="12">
    <w:abstractNumId w:val="14"/>
  </w:num>
  <w:num w:numId="13">
    <w:abstractNumId w:val="16"/>
  </w:num>
  <w:num w:numId="14">
    <w:abstractNumId w:val="7"/>
  </w:num>
  <w:num w:numId="15">
    <w:abstractNumId w:val="1"/>
  </w:num>
  <w:num w:numId="16">
    <w:abstractNumId w:val="13"/>
  </w:num>
  <w:num w:numId="17">
    <w:abstractNumId w:val="3"/>
  </w:num>
  <w:num w:numId="18">
    <w:abstractNumId w:val="0"/>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revisionView w:markup="0"/>
  <w:trackRevisions/>
  <w:documentProtection w:edit="comments" w:enforcement="1" w:cryptProviderType="rsaAES" w:cryptAlgorithmClass="hash" w:cryptAlgorithmType="typeAny" w:cryptAlgorithmSid="14" w:cryptSpinCount="100000" w:hash="t9qEJM58QSpFtOUymPqPhE2EOZIhU9v3j/GOSVfjyCFif9V5KJs3aLEhAB/r5/biHeAE0j6SZJqiwqMB/wUhOg==" w:salt="6OlYtKRAdDP909nzNqSsdw=="/>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D0BF6A"/>
    <w:rsid w:val="00023250"/>
    <w:rsid w:val="000374FA"/>
    <w:rsid w:val="000776F2"/>
    <w:rsid w:val="000F3B45"/>
    <w:rsid w:val="00326E95"/>
    <w:rsid w:val="00364CE3"/>
    <w:rsid w:val="003B0831"/>
    <w:rsid w:val="004340C8"/>
    <w:rsid w:val="0044DBDD"/>
    <w:rsid w:val="00484A33"/>
    <w:rsid w:val="005029D8"/>
    <w:rsid w:val="0055DB7C"/>
    <w:rsid w:val="005E0421"/>
    <w:rsid w:val="005E5EA5"/>
    <w:rsid w:val="005F2DB0"/>
    <w:rsid w:val="00657962"/>
    <w:rsid w:val="006C10A5"/>
    <w:rsid w:val="006C41AF"/>
    <w:rsid w:val="007154AF"/>
    <w:rsid w:val="00753E5D"/>
    <w:rsid w:val="007D378D"/>
    <w:rsid w:val="007F4867"/>
    <w:rsid w:val="008169FD"/>
    <w:rsid w:val="008506A2"/>
    <w:rsid w:val="00887177"/>
    <w:rsid w:val="008A75A4"/>
    <w:rsid w:val="008C0EA2"/>
    <w:rsid w:val="00925F72"/>
    <w:rsid w:val="00977C6C"/>
    <w:rsid w:val="009E6ADA"/>
    <w:rsid w:val="009E7B8F"/>
    <w:rsid w:val="00A71A69"/>
    <w:rsid w:val="00CA3A1D"/>
    <w:rsid w:val="00CC93C8"/>
    <w:rsid w:val="00DB31BA"/>
    <w:rsid w:val="00DC25F3"/>
    <w:rsid w:val="00E352D4"/>
    <w:rsid w:val="00E44ACF"/>
    <w:rsid w:val="00E611C7"/>
    <w:rsid w:val="00F44E39"/>
    <w:rsid w:val="00F678AD"/>
    <w:rsid w:val="00F97269"/>
    <w:rsid w:val="0116395D"/>
    <w:rsid w:val="0122B8EA"/>
    <w:rsid w:val="012F1CB9"/>
    <w:rsid w:val="01410C7A"/>
    <w:rsid w:val="014BE1F1"/>
    <w:rsid w:val="01514617"/>
    <w:rsid w:val="016303EC"/>
    <w:rsid w:val="016AF732"/>
    <w:rsid w:val="0183BD78"/>
    <w:rsid w:val="018B78BF"/>
    <w:rsid w:val="0195328C"/>
    <w:rsid w:val="01A648ED"/>
    <w:rsid w:val="01E06EE6"/>
    <w:rsid w:val="0235001E"/>
    <w:rsid w:val="02402129"/>
    <w:rsid w:val="026766B8"/>
    <w:rsid w:val="029DBE46"/>
    <w:rsid w:val="029F3790"/>
    <w:rsid w:val="02A88EFA"/>
    <w:rsid w:val="02B090CC"/>
    <w:rsid w:val="02B0B315"/>
    <w:rsid w:val="02BC55F2"/>
    <w:rsid w:val="02C2873B"/>
    <w:rsid w:val="02C92A06"/>
    <w:rsid w:val="02EB4A1C"/>
    <w:rsid w:val="02ED1678"/>
    <w:rsid w:val="0301BBF2"/>
    <w:rsid w:val="034B8027"/>
    <w:rsid w:val="0358A5C3"/>
    <w:rsid w:val="03606702"/>
    <w:rsid w:val="03807838"/>
    <w:rsid w:val="0389C4AC"/>
    <w:rsid w:val="039E3201"/>
    <w:rsid w:val="03A003BD"/>
    <w:rsid w:val="03C6FCFC"/>
    <w:rsid w:val="03CEFF16"/>
    <w:rsid w:val="03D5128D"/>
    <w:rsid w:val="0404348A"/>
    <w:rsid w:val="0417021B"/>
    <w:rsid w:val="041EC664"/>
    <w:rsid w:val="044018A0"/>
    <w:rsid w:val="0488E6D9"/>
    <w:rsid w:val="04891CA5"/>
    <w:rsid w:val="04A451AB"/>
    <w:rsid w:val="04AA857A"/>
    <w:rsid w:val="04BBEBDF"/>
    <w:rsid w:val="04C79DAA"/>
    <w:rsid w:val="04E17953"/>
    <w:rsid w:val="04EBF936"/>
    <w:rsid w:val="04FD70CF"/>
    <w:rsid w:val="04FE4C6A"/>
    <w:rsid w:val="050734EF"/>
    <w:rsid w:val="050ECB1B"/>
    <w:rsid w:val="051826F4"/>
    <w:rsid w:val="0542B12D"/>
    <w:rsid w:val="05652EBF"/>
    <w:rsid w:val="0570FC9B"/>
    <w:rsid w:val="0589431D"/>
    <w:rsid w:val="05A0658B"/>
    <w:rsid w:val="05E3EEA5"/>
    <w:rsid w:val="060278F9"/>
    <w:rsid w:val="0624E553"/>
    <w:rsid w:val="064655DB"/>
    <w:rsid w:val="065A0055"/>
    <w:rsid w:val="067738E8"/>
    <w:rsid w:val="06885DAA"/>
    <w:rsid w:val="069426F9"/>
    <w:rsid w:val="069A1CCB"/>
    <w:rsid w:val="06B10A53"/>
    <w:rsid w:val="06DE6191"/>
    <w:rsid w:val="06F33760"/>
    <w:rsid w:val="06F8636C"/>
    <w:rsid w:val="07014A2A"/>
    <w:rsid w:val="071A1C52"/>
    <w:rsid w:val="075774E6"/>
    <w:rsid w:val="07821EF0"/>
    <w:rsid w:val="07AF99DD"/>
    <w:rsid w:val="07B7B9D6"/>
    <w:rsid w:val="07C50355"/>
    <w:rsid w:val="07C762E2"/>
    <w:rsid w:val="07C86709"/>
    <w:rsid w:val="07CCCD2E"/>
    <w:rsid w:val="07D59700"/>
    <w:rsid w:val="07D8FCD0"/>
    <w:rsid w:val="07FDD05E"/>
    <w:rsid w:val="08027BD2"/>
    <w:rsid w:val="080481E9"/>
    <w:rsid w:val="080C944E"/>
    <w:rsid w:val="0810B715"/>
    <w:rsid w:val="0825097F"/>
    <w:rsid w:val="085AF3E8"/>
    <w:rsid w:val="086B2518"/>
    <w:rsid w:val="086F905A"/>
    <w:rsid w:val="089278B3"/>
    <w:rsid w:val="08A066C0"/>
    <w:rsid w:val="08AB2E30"/>
    <w:rsid w:val="08BA4949"/>
    <w:rsid w:val="08E20676"/>
    <w:rsid w:val="08E92C91"/>
    <w:rsid w:val="0907E2B0"/>
    <w:rsid w:val="091EA154"/>
    <w:rsid w:val="0923B99E"/>
    <w:rsid w:val="095C8DC8"/>
    <w:rsid w:val="095F5766"/>
    <w:rsid w:val="0969A257"/>
    <w:rsid w:val="096D68C7"/>
    <w:rsid w:val="09D26FBA"/>
    <w:rsid w:val="09E8A085"/>
    <w:rsid w:val="09EB7C67"/>
    <w:rsid w:val="09F31C7B"/>
    <w:rsid w:val="0A0E0267"/>
    <w:rsid w:val="0A0EE54E"/>
    <w:rsid w:val="0A38ED1D"/>
    <w:rsid w:val="0A6A1152"/>
    <w:rsid w:val="0A83CB59"/>
    <w:rsid w:val="0A940764"/>
    <w:rsid w:val="0A9460D4"/>
    <w:rsid w:val="0AD0BF6A"/>
    <w:rsid w:val="0AF6D25F"/>
    <w:rsid w:val="0AFB2E02"/>
    <w:rsid w:val="0B0ABA31"/>
    <w:rsid w:val="0B19E34B"/>
    <w:rsid w:val="0B3A32D4"/>
    <w:rsid w:val="0B568485"/>
    <w:rsid w:val="0B569C5D"/>
    <w:rsid w:val="0B65E0D1"/>
    <w:rsid w:val="0B82FB69"/>
    <w:rsid w:val="0BAD8026"/>
    <w:rsid w:val="0BB7C6AB"/>
    <w:rsid w:val="0BBD8C09"/>
    <w:rsid w:val="0BC8FFE3"/>
    <w:rsid w:val="0BDB74A8"/>
    <w:rsid w:val="0BF1D48D"/>
    <w:rsid w:val="0BF1EA0B"/>
    <w:rsid w:val="0C05B1B0"/>
    <w:rsid w:val="0C11B215"/>
    <w:rsid w:val="0C154599"/>
    <w:rsid w:val="0C2567D7"/>
    <w:rsid w:val="0C2BDDB8"/>
    <w:rsid w:val="0C6F8AFB"/>
    <w:rsid w:val="0C71CF60"/>
    <w:rsid w:val="0C82AFCF"/>
    <w:rsid w:val="0C9454F1"/>
    <w:rsid w:val="0CB5975F"/>
    <w:rsid w:val="0CC1B8E9"/>
    <w:rsid w:val="0CC5C24A"/>
    <w:rsid w:val="0CF3787D"/>
    <w:rsid w:val="0CFABD5D"/>
    <w:rsid w:val="0D057C2F"/>
    <w:rsid w:val="0D098A49"/>
    <w:rsid w:val="0D0B9E14"/>
    <w:rsid w:val="0D17C317"/>
    <w:rsid w:val="0D28237B"/>
    <w:rsid w:val="0D708DDF"/>
    <w:rsid w:val="0D72C1AE"/>
    <w:rsid w:val="0D737B07"/>
    <w:rsid w:val="0D7C8574"/>
    <w:rsid w:val="0D895DD6"/>
    <w:rsid w:val="0D8B6E17"/>
    <w:rsid w:val="0E053567"/>
    <w:rsid w:val="0E15B3C9"/>
    <w:rsid w:val="0E2E7321"/>
    <w:rsid w:val="0E4C5DB4"/>
    <w:rsid w:val="0E4FC627"/>
    <w:rsid w:val="0E6F61DC"/>
    <w:rsid w:val="0E7739DB"/>
    <w:rsid w:val="0E8EB475"/>
    <w:rsid w:val="0E8EC436"/>
    <w:rsid w:val="0ED9F91C"/>
    <w:rsid w:val="0EE2FE4D"/>
    <w:rsid w:val="0F16AD91"/>
    <w:rsid w:val="0F1EBD85"/>
    <w:rsid w:val="0F3F15B8"/>
    <w:rsid w:val="0F4291F0"/>
    <w:rsid w:val="0F693952"/>
    <w:rsid w:val="0F6A0FC0"/>
    <w:rsid w:val="0F80EB40"/>
    <w:rsid w:val="0FAC317B"/>
    <w:rsid w:val="0FB796E3"/>
    <w:rsid w:val="0FC00D29"/>
    <w:rsid w:val="0FCCE7FB"/>
    <w:rsid w:val="0FD42C11"/>
    <w:rsid w:val="0FD8E3DB"/>
    <w:rsid w:val="0FE1CDDA"/>
    <w:rsid w:val="0FF959AB"/>
    <w:rsid w:val="100FB030"/>
    <w:rsid w:val="102802AE"/>
    <w:rsid w:val="102E66AB"/>
    <w:rsid w:val="104B7E24"/>
    <w:rsid w:val="1093E42D"/>
    <w:rsid w:val="109B3F51"/>
    <w:rsid w:val="10B4E644"/>
    <w:rsid w:val="10D0F0E1"/>
    <w:rsid w:val="10D68CEC"/>
    <w:rsid w:val="10DEE27D"/>
    <w:rsid w:val="10EAA518"/>
    <w:rsid w:val="10F5585D"/>
    <w:rsid w:val="11145F49"/>
    <w:rsid w:val="111CBBA1"/>
    <w:rsid w:val="113D1EED"/>
    <w:rsid w:val="115F33F4"/>
    <w:rsid w:val="11657025"/>
    <w:rsid w:val="11720B34"/>
    <w:rsid w:val="1174D899"/>
    <w:rsid w:val="117FDF16"/>
    <w:rsid w:val="119A4E37"/>
    <w:rsid w:val="11AF49CF"/>
    <w:rsid w:val="11DCFB6C"/>
    <w:rsid w:val="11F93632"/>
    <w:rsid w:val="1203EE5C"/>
    <w:rsid w:val="122550B5"/>
    <w:rsid w:val="125B1576"/>
    <w:rsid w:val="126FE14D"/>
    <w:rsid w:val="127E2BE2"/>
    <w:rsid w:val="12D81ECA"/>
    <w:rsid w:val="12DFE641"/>
    <w:rsid w:val="12E5DE5B"/>
    <w:rsid w:val="12E71B46"/>
    <w:rsid w:val="1323EA40"/>
    <w:rsid w:val="133F8BCF"/>
    <w:rsid w:val="1342CCCA"/>
    <w:rsid w:val="1355DF49"/>
    <w:rsid w:val="135FA370"/>
    <w:rsid w:val="137903DC"/>
    <w:rsid w:val="13927A5D"/>
    <w:rsid w:val="139BBC50"/>
    <w:rsid w:val="13A50F9B"/>
    <w:rsid w:val="13B939CD"/>
    <w:rsid w:val="13BA7804"/>
    <w:rsid w:val="13CC7381"/>
    <w:rsid w:val="13D87392"/>
    <w:rsid w:val="13F60DBF"/>
    <w:rsid w:val="13FC3F10"/>
    <w:rsid w:val="1405D845"/>
    <w:rsid w:val="140D01A0"/>
    <w:rsid w:val="141B68D0"/>
    <w:rsid w:val="14221AF4"/>
    <w:rsid w:val="14292B68"/>
    <w:rsid w:val="143B431A"/>
    <w:rsid w:val="1445FC80"/>
    <w:rsid w:val="14694D92"/>
    <w:rsid w:val="146BAD8B"/>
    <w:rsid w:val="14765C6D"/>
    <w:rsid w:val="14808F69"/>
    <w:rsid w:val="14C18EDF"/>
    <w:rsid w:val="14D22B03"/>
    <w:rsid w:val="14D419C2"/>
    <w:rsid w:val="14F223C9"/>
    <w:rsid w:val="14F6482F"/>
    <w:rsid w:val="14F75979"/>
    <w:rsid w:val="152E4ABE"/>
    <w:rsid w:val="153461A8"/>
    <w:rsid w:val="1543A65D"/>
    <w:rsid w:val="155AE7AF"/>
    <w:rsid w:val="156DC928"/>
    <w:rsid w:val="157CAADE"/>
    <w:rsid w:val="157DD393"/>
    <w:rsid w:val="1592DC24"/>
    <w:rsid w:val="15992F64"/>
    <w:rsid w:val="15A491CD"/>
    <w:rsid w:val="15C1CBAC"/>
    <w:rsid w:val="15C3EFAA"/>
    <w:rsid w:val="1601B6AE"/>
    <w:rsid w:val="16083327"/>
    <w:rsid w:val="160A428C"/>
    <w:rsid w:val="1616536D"/>
    <w:rsid w:val="164BE6E7"/>
    <w:rsid w:val="165C95F2"/>
    <w:rsid w:val="168643FC"/>
    <w:rsid w:val="168C7F3B"/>
    <w:rsid w:val="16D79074"/>
    <w:rsid w:val="16ED57C1"/>
    <w:rsid w:val="1700E192"/>
    <w:rsid w:val="170C90E6"/>
    <w:rsid w:val="175BA5E7"/>
    <w:rsid w:val="17606783"/>
    <w:rsid w:val="177AF95E"/>
    <w:rsid w:val="17DEB735"/>
    <w:rsid w:val="17F90B1D"/>
    <w:rsid w:val="18382130"/>
    <w:rsid w:val="183A10EE"/>
    <w:rsid w:val="183F74DB"/>
    <w:rsid w:val="1863901A"/>
    <w:rsid w:val="18719C86"/>
    <w:rsid w:val="189AD84F"/>
    <w:rsid w:val="18B1ADF8"/>
    <w:rsid w:val="18C50194"/>
    <w:rsid w:val="18C9F382"/>
    <w:rsid w:val="1909BDA4"/>
    <w:rsid w:val="19118B8D"/>
    <w:rsid w:val="192CC967"/>
    <w:rsid w:val="19375367"/>
    <w:rsid w:val="19461EED"/>
    <w:rsid w:val="1947CD2A"/>
    <w:rsid w:val="194933B6"/>
    <w:rsid w:val="1971304C"/>
    <w:rsid w:val="197A0367"/>
    <w:rsid w:val="198C5CCB"/>
    <w:rsid w:val="19C5C5B8"/>
    <w:rsid w:val="19C77675"/>
    <w:rsid w:val="19CBC664"/>
    <w:rsid w:val="19ED277F"/>
    <w:rsid w:val="1A098DB7"/>
    <w:rsid w:val="1A1AC511"/>
    <w:rsid w:val="1A287B51"/>
    <w:rsid w:val="1A2D3D35"/>
    <w:rsid w:val="1A34041C"/>
    <w:rsid w:val="1A3BAB01"/>
    <w:rsid w:val="1A531752"/>
    <w:rsid w:val="1A7872D9"/>
    <w:rsid w:val="1A8898DA"/>
    <w:rsid w:val="1AAD0C5D"/>
    <w:rsid w:val="1AB62771"/>
    <w:rsid w:val="1AB7F2EE"/>
    <w:rsid w:val="1AC130B3"/>
    <w:rsid w:val="1AC66F2E"/>
    <w:rsid w:val="1AC9E529"/>
    <w:rsid w:val="1AC9EC94"/>
    <w:rsid w:val="1ADEA20D"/>
    <w:rsid w:val="1AF65CA5"/>
    <w:rsid w:val="1AFD0338"/>
    <w:rsid w:val="1B059A9E"/>
    <w:rsid w:val="1B21D89E"/>
    <w:rsid w:val="1B300715"/>
    <w:rsid w:val="1B577CBE"/>
    <w:rsid w:val="1B59B51F"/>
    <w:rsid w:val="1B5E1CE9"/>
    <w:rsid w:val="1B68B73B"/>
    <w:rsid w:val="1B799003"/>
    <w:rsid w:val="1B93A8C1"/>
    <w:rsid w:val="1B99D986"/>
    <w:rsid w:val="1BE7C99E"/>
    <w:rsid w:val="1BF0C62B"/>
    <w:rsid w:val="1C020F1A"/>
    <w:rsid w:val="1C21FD4D"/>
    <w:rsid w:val="1C24C545"/>
    <w:rsid w:val="1C29B709"/>
    <w:rsid w:val="1C40A960"/>
    <w:rsid w:val="1C6143A8"/>
    <w:rsid w:val="1C7C713E"/>
    <w:rsid w:val="1C7F6DEC"/>
    <w:rsid w:val="1C99521B"/>
    <w:rsid w:val="1CA0F847"/>
    <w:rsid w:val="1CC480B5"/>
    <w:rsid w:val="1CC640A5"/>
    <w:rsid w:val="1CDEFC5F"/>
    <w:rsid w:val="1CEA5C49"/>
    <w:rsid w:val="1D04879C"/>
    <w:rsid w:val="1D062BAA"/>
    <w:rsid w:val="1D0E733C"/>
    <w:rsid w:val="1D2ECCB8"/>
    <w:rsid w:val="1D6E8E6B"/>
    <w:rsid w:val="1DA191E1"/>
    <w:rsid w:val="1DBD8914"/>
    <w:rsid w:val="1DC92820"/>
    <w:rsid w:val="1E0AC48A"/>
    <w:rsid w:val="1E125844"/>
    <w:rsid w:val="1E13450C"/>
    <w:rsid w:val="1E318009"/>
    <w:rsid w:val="1E3210E3"/>
    <w:rsid w:val="1E328B56"/>
    <w:rsid w:val="1E4D3346"/>
    <w:rsid w:val="1E4DAB94"/>
    <w:rsid w:val="1E5F9EA6"/>
    <w:rsid w:val="1E7A382E"/>
    <w:rsid w:val="1E8733C0"/>
    <w:rsid w:val="1E9FB07A"/>
    <w:rsid w:val="1EA057FD"/>
    <w:rsid w:val="1EA21B52"/>
    <w:rsid w:val="1ECE1CB5"/>
    <w:rsid w:val="1ED17A48"/>
    <w:rsid w:val="1EE3F740"/>
    <w:rsid w:val="1EF4C576"/>
    <w:rsid w:val="1EFB35A1"/>
    <w:rsid w:val="1EFB8311"/>
    <w:rsid w:val="1EFE7A6E"/>
    <w:rsid w:val="1EFE877D"/>
    <w:rsid w:val="1F054042"/>
    <w:rsid w:val="1F05F869"/>
    <w:rsid w:val="1F0D0158"/>
    <w:rsid w:val="1F173B34"/>
    <w:rsid w:val="1F3290D4"/>
    <w:rsid w:val="1F3BF632"/>
    <w:rsid w:val="1F61BB7D"/>
    <w:rsid w:val="1F8F9823"/>
    <w:rsid w:val="1FACD495"/>
    <w:rsid w:val="1FAE28A5"/>
    <w:rsid w:val="1FC8DD7C"/>
    <w:rsid w:val="1FCDD702"/>
    <w:rsid w:val="1FCEAEAB"/>
    <w:rsid w:val="1FD5DF48"/>
    <w:rsid w:val="1FE463FC"/>
    <w:rsid w:val="1FE9AAD0"/>
    <w:rsid w:val="1FF4F927"/>
    <w:rsid w:val="20110C36"/>
    <w:rsid w:val="20186F1A"/>
    <w:rsid w:val="2058ADDF"/>
    <w:rsid w:val="205A0996"/>
    <w:rsid w:val="20833134"/>
    <w:rsid w:val="208692E0"/>
    <w:rsid w:val="20A75D49"/>
    <w:rsid w:val="20B032EE"/>
    <w:rsid w:val="20BC57E0"/>
    <w:rsid w:val="20D2822A"/>
    <w:rsid w:val="210368E3"/>
    <w:rsid w:val="210B9F72"/>
    <w:rsid w:val="2121B3A8"/>
    <w:rsid w:val="212C44A2"/>
    <w:rsid w:val="2146502C"/>
    <w:rsid w:val="214700F6"/>
    <w:rsid w:val="214AE5CE"/>
    <w:rsid w:val="21544B0C"/>
    <w:rsid w:val="21842533"/>
    <w:rsid w:val="21B06984"/>
    <w:rsid w:val="21D937E3"/>
    <w:rsid w:val="21E91028"/>
    <w:rsid w:val="2202F53B"/>
    <w:rsid w:val="2209CA2B"/>
    <w:rsid w:val="22182DA9"/>
    <w:rsid w:val="221D6E5D"/>
    <w:rsid w:val="22787CE0"/>
    <w:rsid w:val="22A5BE14"/>
    <w:rsid w:val="22ADA07D"/>
    <w:rsid w:val="22B6875D"/>
    <w:rsid w:val="22D7CD06"/>
    <w:rsid w:val="22FCECF8"/>
    <w:rsid w:val="230CDAEB"/>
    <w:rsid w:val="2316397F"/>
    <w:rsid w:val="23205942"/>
    <w:rsid w:val="2321FDAC"/>
    <w:rsid w:val="235C74D4"/>
    <w:rsid w:val="23613DFA"/>
    <w:rsid w:val="23744381"/>
    <w:rsid w:val="237DB4C0"/>
    <w:rsid w:val="23864236"/>
    <w:rsid w:val="238D256E"/>
    <w:rsid w:val="23901F64"/>
    <w:rsid w:val="23976350"/>
    <w:rsid w:val="23B4CEE9"/>
    <w:rsid w:val="23C9C6BB"/>
    <w:rsid w:val="240D2428"/>
    <w:rsid w:val="241EB188"/>
    <w:rsid w:val="24440C9B"/>
    <w:rsid w:val="248B74B9"/>
    <w:rsid w:val="248D5011"/>
    <w:rsid w:val="248E0825"/>
    <w:rsid w:val="249E8F3A"/>
    <w:rsid w:val="24B902FB"/>
    <w:rsid w:val="24BC434F"/>
    <w:rsid w:val="24BDC0FE"/>
    <w:rsid w:val="24C71DFB"/>
    <w:rsid w:val="25000B4E"/>
    <w:rsid w:val="251573E6"/>
    <w:rsid w:val="2549DC14"/>
    <w:rsid w:val="255D8BFA"/>
    <w:rsid w:val="25682D49"/>
    <w:rsid w:val="256DBBF2"/>
    <w:rsid w:val="257E5DA8"/>
    <w:rsid w:val="2582964B"/>
    <w:rsid w:val="25B00642"/>
    <w:rsid w:val="25B52AC1"/>
    <w:rsid w:val="25B549A5"/>
    <w:rsid w:val="25C10DCD"/>
    <w:rsid w:val="25CD11C6"/>
    <w:rsid w:val="25DFDCFC"/>
    <w:rsid w:val="25E7DFCD"/>
    <w:rsid w:val="25EDCA27"/>
    <w:rsid w:val="2613444F"/>
    <w:rsid w:val="2613D775"/>
    <w:rsid w:val="2617F46F"/>
    <w:rsid w:val="261C511F"/>
    <w:rsid w:val="2629CBC3"/>
    <w:rsid w:val="2632BCAE"/>
    <w:rsid w:val="2638596F"/>
    <w:rsid w:val="263E0F91"/>
    <w:rsid w:val="26446144"/>
    <w:rsid w:val="264520CC"/>
    <w:rsid w:val="2647814D"/>
    <w:rsid w:val="26617EE5"/>
    <w:rsid w:val="2671702C"/>
    <w:rsid w:val="2682104F"/>
    <w:rsid w:val="2684D3D2"/>
    <w:rsid w:val="268BD08D"/>
    <w:rsid w:val="2691F9AE"/>
    <w:rsid w:val="2692E7CE"/>
    <w:rsid w:val="26D993F6"/>
    <w:rsid w:val="26E16C18"/>
    <w:rsid w:val="26EEC862"/>
    <w:rsid w:val="26F07105"/>
    <w:rsid w:val="2701AAF3"/>
    <w:rsid w:val="2705B107"/>
    <w:rsid w:val="27098C53"/>
    <w:rsid w:val="2712CC11"/>
    <w:rsid w:val="2721D3F3"/>
    <w:rsid w:val="27340FA8"/>
    <w:rsid w:val="2761D632"/>
    <w:rsid w:val="2768E227"/>
    <w:rsid w:val="276B880B"/>
    <w:rsid w:val="277D65C3"/>
    <w:rsid w:val="27A1348B"/>
    <w:rsid w:val="27C8B9B5"/>
    <w:rsid w:val="27D538D7"/>
    <w:rsid w:val="27FB72C9"/>
    <w:rsid w:val="280B3F63"/>
    <w:rsid w:val="280D03D8"/>
    <w:rsid w:val="28129CDA"/>
    <w:rsid w:val="2820FE7C"/>
    <w:rsid w:val="28231C7C"/>
    <w:rsid w:val="282ACD61"/>
    <w:rsid w:val="28307528"/>
    <w:rsid w:val="28413F96"/>
    <w:rsid w:val="2861E568"/>
    <w:rsid w:val="287EC40D"/>
    <w:rsid w:val="28952F28"/>
    <w:rsid w:val="28D20B18"/>
    <w:rsid w:val="28DFB1E3"/>
    <w:rsid w:val="28F88B8F"/>
    <w:rsid w:val="290E81D2"/>
    <w:rsid w:val="291AB3B7"/>
    <w:rsid w:val="292569F7"/>
    <w:rsid w:val="292F2939"/>
    <w:rsid w:val="2930269D"/>
    <w:rsid w:val="29335B41"/>
    <w:rsid w:val="293A4B55"/>
    <w:rsid w:val="2962A36E"/>
    <w:rsid w:val="2969FB8C"/>
    <w:rsid w:val="2973334F"/>
    <w:rsid w:val="29864DBF"/>
    <w:rsid w:val="29892153"/>
    <w:rsid w:val="299691AD"/>
    <w:rsid w:val="29ACCADE"/>
    <w:rsid w:val="29BEDF1E"/>
    <w:rsid w:val="29C99A70"/>
    <w:rsid w:val="29E11511"/>
    <w:rsid w:val="29FDC225"/>
    <w:rsid w:val="2A30FF89"/>
    <w:rsid w:val="2A489853"/>
    <w:rsid w:val="2A5054E0"/>
    <w:rsid w:val="2A51F137"/>
    <w:rsid w:val="2A65F129"/>
    <w:rsid w:val="2A735EB8"/>
    <w:rsid w:val="2A79E15B"/>
    <w:rsid w:val="2A7E8309"/>
    <w:rsid w:val="2A7FCB59"/>
    <w:rsid w:val="2A84D8C7"/>
    <w:rsid w:val="2AA12396"/>
    <w:rsid w:val="2AD89FB7"/>
    <w:rsid w:val="2AE0FA7D"/>
    <w:rsid w:val="2AE11E59"/>
    <w:rsid w:val="2AEB9F2A"/>
    <w:rsid w:val="2AF1A177"/>
    <w:rsid w:val="2AF61B38"/>
    <w:rsid w:val="2B02F5DE"/>
    <w:rsid w:val="2B061C53"/>
    <w:rsid w:val="2B0E8113"/>
    <w:rsid w:val="2B0FF99C"/>
    <w:rsid w:val="2B1343A8"/>
    <w:rsid w:val="2B136AE6"/>
    <w:rsid w:val="2B14CFB6"/>
    <w:rsid w:val="2B17F1AE"/>
    <w:rsid w:val="2B1B1488"/>
    <w:rsid w:val="2B21B7D8"/>
    <w:rsid w:val="2B247BDB"/>
    <w:rsid w:val="2B293E23"/>
    <w:rsid w:val="2B3FDDC6"/>
    <w:rsid w:val="2B5DD9A2"/>
    <w:rsid w:val="2B63EC40"/>
    <w:rsid w:val="2B87730D"/>
    <w:rsid w:val="2B9B42FE"/>
    <w:rsid w:val="2BA97EC7"/>
    <w:rsid w:val="2BC8C63B"/>
    <w:rsid w:val="2BF576F3"/>
    <w:rsid w:val="2C09FDB2"/>
    <w:rsid w:val="2C0C793F"/>
    <w:rsid w:val="2C229A01"/>
    <w:rsid w:val="2C365F34"/>
    <w:rsid w:val="2C401F1D"/>
    <w:rsid w:val="2C50BEC7"/>
    <w:rsid w:val="2C6FEF6F"/>
    <w:rsid w:val="2C7A22CC"/>
    <w:rsid w:val="2CAAF7A8"/>
    <w:rsid w:val="2CB80063"/>
    <w:rsid w:val="2CC8D2E3"/>
    <w:rsid w:val="2CD88144"/>
    <w:rsid w:val="2CDCAAC2"/>
    <w:rsid w:val="2CFA9879"/>
    <w:rsid w:val="2CFF34F5"/>
    <w:rsid w:val="2D10CBE7"/>
    <w:rsid w:val="2D1E161F"/>
    <w:rsid w:val="2D45ABF1"/>
    <w:rsid w:val="2D47B140"/>
    <w:rsid w:val="2D897BD1"/>
    <w:rsid w:val="2D8A457A"/>
    <w:rsid w:val="2DA26B22"/>
    <w:rsid w:val="2DA3E903"/>
    <w:rsid w:val="2DA52362"/>
    <w:rsid w:val="2DAAAD9E"/>
    <w:rsid w:val="2DBC7989"/>
    <w:rsid w:val="2DD1AA31"/>
    <w:rsid w:val="2E249B7B"/>
    <w:rsid w:val="2E2A0888"/>
    <w:rsid w:val="2E43343C"/>
    <w:rsid w:val="2E582037"/>
    <w:rsid w:val="2E587471"/>
    <w:rsid w:val="2E74D684"/>
    <w:rsid w:val="2E789607"/>
    <w:rsid w:val="2E839103"/>
    <w:rsid w:val="2E9E5CC7"/>
    <w:rsid w:val="2ED2599C"/>
    <w:rsid w:val="2ED2AC2F"/>
    <w:rsid w:val="2ED2E3C0"/>
    <w:rsid w:val="2EDB7335"/>
    <w:rsid w:val="2EE3770B"/>
    <w:rsid w:val="2EE4D965"/>
    <w:rsid w:val="2F199461"/>
    <w:rsid w:val="2F3620C1"/>
    <w:rsid w:val="2F3788C7"/>
    <w:rsid w:val="2F580D5F"/>
    <w:rsid w:val="2F92DE30"/>
    <w:rsid w:val="2FA61C8D"/>
    <w:rsid w:val="2FC0BDE0"/>
    <w:rsid w:val="2FC11D03"/>
    <w:rsid w:val="2FC38FFE"/>
    <w:rsid w:val="2FD03641"/>
    <w:rsid w:val="2FD55D4E"/>
    <w:rsid w:val="2FDB4703"/>
    <w:rsid w:val="300522E4"/>
    <w:rsid w:val="3008731B"/>
    <w:rsid w:val="30222E59"/>
    <w:rsid w:val="302E20A2"/>
    <w:rsid w:val="304F2DD0"/>
    <w:rsid w:val="3051B269"/>
    <w:rsid w:val="3060E74B"/>
    <w:rsid w:val="307A7562"/>
    <w:rsid w:val="308A7AC7"/>
    <w:rsid w:val="30AB9DE6"/>
    <w:rsid w:val="30C0F552"/>
    <w:rsid w:val="30D3BBDF"/>
    <w:rsid w:val="30DA3DC0"/>
    <w:rsid w:val="30DD6ED5"/>
    <w:rsid w:val="30E922DF"/>
    <w:rsid w:val="30FC241E"/>
    <w:rsid w:val="310D8A28"/>
    <w:rsid w:val="310EAEE1"/>
    <w:rsid w:val="31170DA7"/>
    <w:rsid w:val="3139C6A0"/>
    <w:rsid w:val="314D3713"/>
    <w:rsid w:val="3183639E"/>
    <w:rsid w:val="31A2FFF8"/>
    <w:rsid w:val="31AD714A"/>
    <w:rsid w:val="31B9C281"/>
    <w:rsid w:val="31BE2337"/>
    <w:rsid w:val="31F1E7E2"/>
    <w:rsid w:val="3220BB04"/>
    <w:rsid w:val="3227935A"/>
    <w:rsid w:val="322D1A16"/>
    <w:rsid w:val="323D10D2"/>
    <w:rsid w:val="3245B5E9"/>
    <w:rsid w:val="325E31C9"/>
    <w:rsid w:val="3261342B"/>
    <w:rsid w:val="326B0354"/>
    <w:rsid w:val="329CC716"/>
    <w:rsid w:val="32C0F49D"/>
    <w:rsid w:val="32DF82E2"/>
    <w:rsid w:val="32F13F17"/>
    <w:rsid w:val="32FD7D02"/>
    <w:rsid w:val="331404F1"/>
    <w:rsid w:val="331DD5FF"/>
    <w:rsid w:val="336514A3"/>
    <w:rsid w:val="3365C164"/>
    <w:rsid w:val="336A8542"/>
    <w:rsid w:val="33780968"/>
    <w:rsid w:val="337F3184"/>
    <w:rsid w:val="33B21C90"/>
    <w:rsid w:val="33C8EA77"/>
    <w:rsid w:val="33C9AD2E"/>
    <w:rsid w:val="33CEF40D"/>
    <w:rsid w:val="33E1B3C3"/>
    <w:rsid w:val="343CE4BB"/>
    <w:rsid w:val="34550F87"/>
    <w:rsid w:val="347EEF01"/>
    <w:rsid w:val="34894B53"/>
    <w:rsid w:val="34B5EBCF"/>
    <w:rsid w:val="34B5FE68"/>
    <w:rsid w:val="34D9CF93"/>
    <w:rsid w:val="34DA549F"/>
    <w:rsid w:val="34E131DA"/>
    <w:rsid w:val="34EC04B1"/>
    <w:rsid w:val="3500E504"/>
    <w:rsid w:val="351C7054"/>
    <w:rsid w:val="3538B5DA"/>
    <w:rsid w:val="354C86B4"/>
    <w:rsid w:val="35512951"/>
    <w:rsid w:val="35529263"/>
    <w:rsid w:val="3561C38D"/>
    <w:rsid w:val="3578FF43"/>
    <w:rsid w:val="357E8FF6"/>
    <w:rsid w:val="357EDBD1"/>
    <w:rsid w:val="3596616D"/>
    <w:rsid w:val="35AA919C"/>
    <w:rsid w:val="35ADAB78"/>
    <w:rsid w:val="35B0DFF8"/>
    <w:rsid w:val="35B33728"/>
    <w:rsid w:val="35E4BF88"/>
    <w:rsid w:val="36314015"/>
    <w:rsid w:val="3637BA19"/>
    <w:rsid w:val="36523D06"/>
    <w:rsid w:val="36786BFD"/>
    <w:rsid w:val="367B78E7"/>
    <w:rsid w:val="36995B83"/>
    <w:rsid w:val="36B9ECFF"/>
    <w:rsid w:val="36E7702E"/>
    <w:rsid w:val="36F06327"/>
    <w:rsid w:val="36F1FE96"/>
    <w:rsid w:val="36F28F0E"/>
    <w:rsid w:val="36F6193E"/>
    <w:rsid w:val="370F0EF9"/>
    <w:rsid w:val="371A6057"/>
    <w:rsid w:val="371B8854"/>
    <w:rsid w:val="372619E6"/>
    <w:rsid w:val="373DD46F"/>
    <w:rsid w:val="3749AAB4"/>
    <w:rsid w:val="374B77D8"/>
    <w:rsid w:val="374F0789"/>
    <w:rsid w:val="376CAB81"/>
    <w:rsid w:val="376F90D2"/>
    <w:rsid w:val="377F86CB"/>
    <w:rsid w:val="37808FE9"/>
    <w:rsid w:val="37B68FC3"/>
    <w:rsid w:val="37CAA0D5"/>
    <w:rsid w:val="37D022A6"/>
    <w:rsid w:val="37D1EF86"/>
    <w:rsid w:val="37E34DC1"/>
    <w:rsid w:val="37EC9D77"/>
    <w:rsid w:val="37ED40E2"/>
    <w:rsid w:val="380CA683"/>
    <w:rsid w:val="381EA0F5"/>
    <w:rsid w:val="38453D17"/>
    <w:rsid w:val="3855BD60"/>
    <w:rsid w:val="3856A195"/>
    <w:rsid w:val="385A0B33"/>
    <w:rsid w:val="3881E538"/>
    <w:rsid w:val="3888CA13"/>
    <w:rsid w:val="388F81F4"/>
    <w:rsid w:val="38AB82E2"/>
    <w:rsid w:val="38AD1DC8"/>
    <w:rsid w:val="38C51D47"/>
    <w:rsid w:val="38D20C3A"/>
    <w:rsid w:val="3910617D"/>
    <w:rsid w:val="3922C3D8"/>
    <w:rsid w:val="392EC166"/>
    <w:rsid w:val="39548BB9"/>
    <w:rsid w:val="395661BA"/>
    <w:rsid w:val="3963EEF6"/>
    <w:rsid w:val="396C92D3"/>
    <w:rsid w:val="396CFEC6"/>
    <w:rsid w:val="396E84EE"/>
    <w:rsid w:val="3988CD6D"/>
    <w:rsid w:val="39961B14"/>
    <w:rsid w:val="39A01F4D"/>
    <w:rsid w:val="39C48FA0"/>
    <w:rsid w:val="3A0F7A4D"/>
    <w:rsid w:val="3A1C7693"/>
    <w:rsid w:val="3A2E40DE"/>
    <w:rsid w:val="3A4C6199"/>
    <w:rsid w:val="3A5246FC"/>
    <w:rsid w:val="3A786A36"/>
    <w:rsid w:val="3A7E02BF"/>
    <w:rsid w:val="3A814B76"/>
    <w:rsid w:val="3A82954B"/>
    <w:rsid w:val="3A8686C2"/>
    <w:rsid w:val="3A86993A"/>
    <w:rsid w:val="3AA3E624"/>
    <w:rsid w:val="3AD0CBD1"/>
    <w:rsid w:val="3ADDB4A4"/>
    <w:rsid w:val="3AED47EF"/>
    <w:rsid w:val="3AF4DCC6"/>
    <w:rsid w:val="3AF89B74"/>
    <w:rsid w:val="3AFBF219"/>
    <w:rsid w:val="3B1DDB54"/>
    <w:rsid w:val="3B219073"/>
    <w:rsid w:val="3B24EF90"/>
    <w:rsid w:val="3B29C43D"/>
    <w:rsid w:val="3B4B4B8F"/>
    <w:rsid w:val="3B501F2E"/>
    <w:rsid w:val="3B5222FC"/>
    <w:rsid w:val="3B5F651B"/>
    <w:rsid w:val="3BB04E26"/>
    <w:rsid w:val="3BC06AD5"/>
    <w:rsid w:val="3BD7F63D"/>
    <w:rsid w:val="3BEDCAA0"/>
    <w:rsid w:val="3C23793B"/>
    <w:rsid w:val="3C38AD5F"/>
    <w:rsid w:val="3C4D68C8"/>
    <w:rsid w:val="3C6F75CD"/>
    <w:rsid w:val="3C8C1EE6"/>
    <w:rsid w:val="3C98D8B5"/>
    <w:rsid w:val="3CA5B04A"/>
    <w:rsid w:val="3CB06CFC"/>
    <w:rsid w:val="3CC07E8A"/>
    <w:rsid w:val="3CD7AA2D"/>
    <w:rsid w:val="3CEC8030"/>
    <w:rsid w:val="3CFBE4C7"/>
    <w:rsid w:val="3D0E92FE"/>
    <w:rsid w:val="3D2DB257"/>
    <w:rsid w:val="3D33DF97"/>
    <w:rsid w:val="3D5BCD01"/>
    <w:rsid w:val="3D981EE4"/>
    <w:rsid w:val="3D994F1B"/>
    <w:rsid w:val="3DB8EC38"/>
    <w:rsid w:val="3DD1616D"/>
    <w:rsid w:val="3DD58357"/>
    <w:rsid w:val="3DD8CECE"/>
    <w:rsid w:val="3E01CA5A"/>
    <w:rsid w:val="3E0CA8EA"/>
    <w:rsid w:val="3E15DDAB"/>
    <w:rsid w:val="3E2E365B"/>
    <w:rsid w:val="3E3C720F"/>
    <w:rsid w:val="3E582F9A"/>
    <w:rsid w:val="3E7D061D"/>
    <w:rsid w:val="3E7E8F8E"/>
    <w:rsid w:val="3E803A0E"/>
    <w:rsid w:val="3E84CC9C"/>
    <w:rsid w:val="3E86AC83"/>
    <w:rsid w:val="3E94BB00"/>
    <w:rsid w:val="3EAA9C11"/>
    <w:rsid w:val="3EB81057"/>
    <w:rsid w:val="3EBD37F9"/>
    <w:rsid w:val="3EC344DD"/>
    <w:rsid w:val="3EC5505A"/>
    <w:rsid w:val="3ED37936"/>
    <w:rsid w:val="3ED7D8E8"/>
    <w:rsid w:val="3EDE77BF"/>
    <w:rsid w:val="3EE5A90C"/>
    <w:rsid w:val="3EFBC0E9"/>
    <w:rsid w:val="3F2ED43C"/>
    <w:rsid w:val="3F3D5D52"/>
    <w:rsid w:val="3F46120F"/>
    <w:rsid w:val="3F56A7E8"/>
    <w:rsid w:val="3F759E17"/>
    <w:rsid w:val="3F767787"/>
    <w:rsid w:val="3F9C22A3"/>
    <w:rsid w:val="3F9E1C94"/>
    <w:rsid w:val="3FB3E6F0"/>
    <w:rsid w:val="3FBC5313"/>
    <w:rsid w:val="3FE055BD"/>
    <w:rsid w:val="3FF2F58B"/>
    <w:rsid w:val="3FF8C259"/>
    <w:rsid w:val="4029F981"/>
    <w:rsid w:val="403EADCC"/>
    <w:rsid w:val="4049084A"/>
    <w:rsid w:val="4057393B"/>
    <w:rsid w:val="4073DCBC"/>
    <w:rsid w:val="4075A125"/>
    <w:rsid w:val="4081114E"/>
    <w:rsid w:val="40907288"/>
    <w:rsid w:val="40AA63FD"/>
    <w:rsid w:val="40B1C6AF"/>
    <w:rsid w:val="40D3C9DE"/>
    <w:rsid w:val="40D4D2A5"/>
    <w:rsid w:val="40DE512F"/>
    <w:rsid w:val="4106E595"/>
    <w:rsid w:val="410B2513"/>
    <w:rsid w:val="41208E8B"/>
    <w:rsid w:val="4122C109"/>
    <w:rsid w:val="412C8146"/>
    <w:rsid w:val="413BF589"/>
    <w:rsid w:val="4147C881"/>
    <w:rsid w:val="4158AE38"/>
    <w:rsid w:val="415F9009"/>
    <w:rsid w:val="4174F403"/>
    <w:rsid w:val="417E1F2C"/>
    <w:rsid w:val="4192A063"/>
    <w:rsid w:val="4196E47D"/>
    <w:rsid w:val="41B49077"/>
    <w:rsid w:val="41B9D55F"/>
    <w:rsid w:val="41D68C9B"/>
    <w:rsid w:val="41EF5B5D"/>
    <w:rsid w:val="41F5833D"/>
    <w:rsid w:val="4201237A"/>
    <w:rsid w:val="420127F6"/>
    <w:rsid w:val="421C9DC0"/>
    <w:rsid w:val="4241FED3"/>
    <w:rsid w:val="425A67AB"/>
    <w:rsid w:val="42B49FB2"/>
    <w:rsid w:val="42B74BAE"/>
    <w:rsid w:val="42BB22D0"/>
    <w:rsid w:val="42BF41B1"/>
    <w:rsid w:val="42C5BB10"/>
    <w:rsid w:val="42E8C689"/>
    <w:rsid w:val="431E43C3"/>
    <w:rsid w:val="432AED48"/>
    <w:rsid w:val="435BC1B4"/>
    <w:rsid w:val="435D07DC"/>
    <w:rsid w:val="436CF6AC"/>
    <w:rsid w:val="438057D3"/>
    <w:rsid w:val="4396776A"/>
    <w:rsid w:val="43AC1A20"/>
    <w:rsid w:val="43B9799F"/>
    <w:rsid w:val="43ED055D"/>
    <w:rsid w:val="43EDD18F"/>
    <w:rsid w:val="43F3E6A2"/>
    <w:rsid w:val="43F5D692"/>
    <w:rsid w:val="4405FF9C"/>
    <w:rsid w:val="44092A27"/>
    <w:rsid w:val="440D2FD5"/>
    <w:rsid w:val="4411DFBE"/>
    <w:rsid w:val="4413A6C1"/>
    <w:rsid w:val="441F689E"/>
    <w:rsid w:val="442602AD"/>
    <w:rsid w:val="4429A333"/>
    <w:rsid w:val="442B151A"/>
    <w:rsid w:val="4439F3B2"/>
    <w:rsid w:val="4444B928"/>
    <w:rsid w:val="4447A2B4"/>
    <w:rsid w:val="44567FC4"/>
    <w:rsid w:val="44601606"/>
    <w:rsid w:val="44648CB0"/>
    <w:rsid w:val="44700DAA"/>
    <w:rsid w:val="44B795CB"/>
    <w:rsid w:val="44C09FAD"/>
    <w:rsid w:val="44C251A4"/>
    <w:rsid w:val="44D2329B"/>
    <w:rsid w:val="44F527DE"/>
    <w:rsid w:val="44F9091D"/>
    <w:rsid w:val="44FB35D6"/>
    <w:rsid w:val="45148627"/>
    <w:rsid w:val="451CAF39"/>
    <w:rsid w:val="452DD6B9"/>
    <w:rsid w:val="453E2D6A"/>
    <w:rsid w:val="45586526"/>
    <w:rsid w:val="455BC889"/>
    <w:rsid w:val="455F7A33"/>
    <w:rsid w:val="458B65FA"/>
    <w:rsid w:val="45B43D03"/>
    <w:rsid w:val="45B5A4B6"/>
    <w:rsid w:val="45D202EF"/>
    <w:rsid w:val="45E68259"/>
    <w:rsid w:val="45E8BF30"/>
    <w:rsid w:val="45ED6701"/>
    <w:rsid w:val="462EDA29"/>
    <w:rsid w:val="463C6238"/>
    <w:rsid w:val="466FE019"/>
    <w:rsid w:val="4677E3E2"/>
    <w:rsid w:val="467B5A0E"/>
    <w:rsid w:val="46858C75"/>
    <w:rsid w:val="468781B5"/>
    <w:rsid w:val="4690DB8B"/>
    <w:rsid w:val="469A156B"/>
    <w:rsid w:val="46A817D0"/>
    <w:rsid w:val="46C0498D"/>
    <w:rsid w:val="46C116B7"/>
    <w:rsid w:val="46CF4F30"/>
    <w:rsid w:val="46D0404C"/>
    <w:rsid w:val="46DAC1DD"/>
    <w:rsid w:val="46E2C975"/>
    <w:rsid w:val="46FB3311"/>
    <w:rsid w:val="470A3E9E"/>
    <w:rsid w:val="4710FA61"/>
    <w:rsid w:val="472AAEB9"/>
    <w:rsid w:val="4755D1D8"/>
    <w:rsid w:val="476F30C1"/>
    <w:rsid w:val="47742558"/>
    <w:rsid w:val="47786FAD"/>
    <w:rsid w:val="47A6E2A0"/>
    <w:rsid w:val="47A8FF15"/>
    <w:rsid w:val="47AAB325"/>
    <w:rsid w:val="47B61765"/>
    <w:rsid w:val="47B85FE0"/>
    <w:rsid w:val="47BC37AC"/>
    <w:rsid w:val="47C66AED"/>
    <w:rsid w:val="47DB5B98"/>
    <w:rsid w:val="47E8720C"/>
    <w:rsid w:val="47EA3EF2"/>
    <w:rsid w:val="47EF41C7"/>
    <w:rsid w:val="480E9AC3"/>
    <w:rsid w:val="482C577F"/>
    <w:rsid w:val="4865B1B9"/>
    <w:rsid w:val="486F2FCF"/>
    <w:rsid w:val="48798487"/>
    <w:rsid w:val="487EAEF9"/>
    <w:rsid w:val="48964C6E"/>
    <w:rsid w:val="48D0F043"/>
    <w:rsid w:val="48D79DE9"/>
    <w:rsid w:val="491C2C9C"/>
    <w:rsid w:val="4921AD20"/>
    <w:rsid w:val="49308B0C"/>
    <w:rsid w:val="49437ECD"/>
    <w:rsid w:val="49518726"/>
    <w:rsid w:val="49713DA6"/>
    <w:rsid w:val="497936E1"/>
    <w:rsid w:val="49843635"/>
    <w:rsid w:val="498CB966"/>
    <w:rsid w:val="49AFD646"/>
    <w:rsid w:val="49BA62A1"/>
    <w:rsid w:val="49EC7832"/>
    <w:rsid w:val="4A01038E"/>
    <w:rsid w:val="4A191A2D"/>
    <w:rsid w:val="4A1A7F5A"/>
    <w:rsid w:val="4A1A9CE2"/>
    <w:rsid w:val="4A4CA19E"/>
    <w:rsid w:val="4A5B160B"/>
    <w:rsid w:val="4A61995E"/>
    <w:rsid w:val="4A6D6C39"/>
    <w:rsid w:val="4A821141"/>
    <w:rsid w:val="4AA9765F"/>
    <w:rsid w:val="4AB5327F"/>
    <w:rsid w:val="4AE09FD7"/>
    <w:rsid w:val="4AEB841A"/>
    <w:rsid w:val="4B03AE1F"/>
    <w:rsid w:val="4B18612A"/>
    <w:rsid w:val="4B4D0568"/>
    <w:rsid w:val="4B4D6ECB"/>
    <w:rsid w:val="4B5309AB"/>
    <w:rsid w:val="4B544CBF"/>
    <w:rsid w:val="4B5D0FD3"/>
    <w:rsid w:val="4B80BDA3"/>
    <w:rsid w:val="4B80F779"/>
    <w:rsid w:val="4B89CFDE"/>
    <w:rsid w:val="4B91E847"/>
    <w:rsid w:val="4B985DAE"/>
    <w:rsid w:val="4BA3D362"/>
    <w:rsid w:val="4BA43809"/>
    <w:rsid w:val="4BC52C20"/>
    <w:rsid w:val="4BCF4B04"/>
    <w:rsid w:val="4BF4DA68"/>
    <w:rsid w:val="4C040F89"/>
    <w:rsid w:val="4C11E3ED"/>
    <w:rsid w:val="4C12C869"/>
    <w:rsid w:val="4C1A1744"/>
    <w:rsid w:val="4C227534"/>
    <w:rsid w:val="4C2C8A4B"/>
    <w:rsid w:val="4C42203D"/>
    <w:rsid w:val="4C4B8DE3"/>
    <w:rsid w:val="4C505957"/>
    <w:rsid w:val="4C55B511"/>
    <w:rsid w:val="4C55C3DD"/>
    <w:rsid w:val="4C7C7038"/>
    <w:rsid w:val="4C91F563"/>
    <w:rsid w:val="4C93883B"/>
    <w:rsid w:val="4C9ABEE6"/>
    <w:rsid w:val="4CB12935"/>
    <w:rsid w:val="4CB690D9"/>
    <w:rsid w:val="4CBC34C0"/>
    <w:rsid w:val="4CBCD066"/>
    <w:rsid w:val="4CBE8205"/>
    <w:rsid w:val="4CCBAE19"/>
    <w:rsid w:val="4CCF6F0D"/>
    <w:rsid w:val="4CDE8FDA"/>
    <w:rsid w:val="4CEBE6A5"/>
    <w:rsid w:val="4D0DDA37"/>
    <w:rsid w:val="4D0E1003"/>
    <w:rsid w:val="4D22A99B"/>
    <w:rsid w:val="4D3CD84D"/>
    <w:rsid w:val="4D466532"/>
    <w:rsid w:val="4D533FDE"/>
    <w:rsid w:val="4D6A6868"/>
    <w:rsid w:val="4D9C066A"/>
    <w:rsid w:val="4D9D1A52"/>
    <w:rsid w:val="4DBAD11D"/>
    <w:rsid w:val="4DD851DB"/>
    <w:rsid w:val="4E2C0C0B"/>
    <w:rsid w:val="4E2FBB1B"/>
    <w:rsid w:val="4E304D18"/>
    <w:rsid w:val="4E3530C6"/>
    <w:rsid w:val="4E35E27C"/>
    <w:rsid w:val="4E4DF6C0"/>
    <w:rsid w:val="4E5A9D61"/>
    <w:rsid w:val="4E746557"/>
    <w:rsid w:val="4E74CD5D"/>
    <w:rsid w:val="4E7A088F"/>
    <w:rsid w:val="4E7FB001"/>
    <w:rsid w:val="4E8580A1"/>
    <w:rsid w:val="4E866199"/>
    <w:rsid w:val="4E8BB12B"/>
    <w:rsid w:val="4EAB3FD2"/>
    <w:rsid w:val="4EBCF665"/>
    <w:rsid w:val="4EC6CE5E"/>
    <w:rsid w:val="4ED77E2A"/>
    <w:rsid w:val="4EE99D00"/>
    <w:rsid w:val="4EEE0E05"/>
    <w:rsid w:val="4F0B1B4D"/>
    <w:rsid w:val="4F3B81D6"/>
    <w:rsid w:val="4F51DAB0"/>
    <w:rsid w:val="4F71F545"/>
    <w:rsid w:val="4F7A44AE"/>
    <w:rsid w:val="4F8F2F67"/>
    <w:rsid w:val="4FD24500"/>
    <w:rsid w:val="4FEBE545"/>
    <w:rsid w:val="4FF66DC2"/>
    <w:rsid w:val="5008B15B"/>
    <w:rsid w:val="502A7ED4"/>
    <w:rsid w:val="502E635A"/>
    <w:rsid w:val="50389C78"/>
    <w:rsid w:val="503F101E"/>
    <w:rsid w:val="50423242"/>
    <w:rsid w:val="50750D00"/>
    <w:rsid w:val="5086EDE2"/>
    <w:rsid w:val="50B60BD9"/>
    <w:rsid w:val="50CDB3FA"/>
    <w:rsid w:val="511876BA"/>
    <w:rsid w:val="51245E08"/>
    <w:rsid w:val="512802C9"/>
    <w:rsid w:val="512CAEE0"/>
    <w:rsid w:val="51B0EE8B"/>
    <w:rsid w:val="51CB28A2"/>
    <w:rsid w:val="51E64343"/>
    <w:rsid w:val="51EEF747"/>
    <w:rsid w:val="51F9461C"/>
    <w:rsid w:val="520C0F72"/>
    <w:rsid w:val="52279F90"/>
    <w:rsid w:val="522A9212"/>
    <w:rsid w:val="522F60DD"/>
    <w:rsid w:val="52317AD4"/>
    <w:rsid w:val="52485BA6"/>
    <w:rsid w:val="52692A09"/>
    <w:rsid w:val="526FFEC7"/>
    <w:rsid w:val="5291AA81"/>
    <w:rsid w:val="52AD90B6"/>
    <w:rsid w:val="52AE19DB"/>
    <w:rsid w:val="52AFE5E8"/>
    <w:rsid w:val="52BFCFE5"/>
    <w:rsid w:val="53163D7D"/>
    <w:rsid w:val="531680C2"/>
    <w:rsid w:val="5349B30D"/>
    <w:rsid w:val="534F9F29"/>
    <w:rsid w:val="5357335E"/>
    <w:rsid w:val="5385AE4C"/>
    <w:rsid w:val="53B4E0A4"/>
    <w:rsid w:val="53BD0E23"/>
    <w:rsid w:val="53C161A0"/>
    <w:rsid w:val="53C8815C"/>
    <w:rsid w:val="53E574B1"/>
    <w:rsid w:val="53ECCAC6"/>
    <w:rsid w:val="53F33379"/>
    <w:rsid w:val="5408A464"/>
    <w:rsid w:val="5423326A"/>
    <w:rsid w:val="543A42FC"/>
    <w:rsid w:val="54456668"/>
    <w:rsid w:val="5445C6DF"/>
    <w:rsid w:val="544C43A3"/>
    <w:rsid w:val="54512A60"/>
    <w:rsid w:val="5469A6D3"/>
    <w:rsid w:val="54C9C4E3"/>
    <w:rsid w:val="54C9DEE5"/>
    <w:rsid w:val="54E6B17F"/>
    <w:rsid w:val="54E9BBEB"/>
    <w:rsid w:val="5531333F"/>
    <w:rsid w:val="554BECC1"/>
    <w:rsid w:val="555498B5"/>
    <w:rsid w:val="555AA6E7"/>
    <w:rsid w:val="55606681"/>
    <w:rsid w:val="556FF64F"/>
    <w:rsid w:val="55C91CDC"/>
    <w:rsid w:val="55DA2DD1"/>
    <w:rsid w:val="5601F18A"/>
    <w:rsid w:val="56140E0D"/>
    <w:rsid w:val="5650104F"/>
    <w:rsid w:val="566AC6A6"/>
    <w:rsid w:val="567434E8"/>
    <w:rsid w:val="567D9351"/>
    <w:rsid w:val="5694DCB3"/>
    <w:rsid w:val="569AE01D"/>
    <w:rsid w:val="56A40B9D"/>
    <w:rsid w:val="56A9DED3"/>
    <w:rsid w:val="56E148FF"/>
    <w:rsid w:val="56F20540"/>
    <w:rsid w:val="571862ED"/>
    <w:rsid w:val="57230886"/>
    <w:rsid w:val="574CAFA9"/>
    <w:rsid w:val="57586503"/>
    <w:rsid w:val="576ABC08"/>
    <w:rsid w:val="5775E34E"/>
    <w:rsid w:val="57AC7078"/>
    <w:rsid w:val="57C0CF29"/>
    <w:rsid w:val="57C18B26"/>
    <w:rsid w:val="57C79D29"/>
    <w:rsid w:val="57E772A4"/>
    <w:rsid w:val="57EBFAE2"/>
    <w:rsid w:val="581CF858"/>
    <w:rsid w:val="5825F926"/>
    <w:rsid w:val="58508CDE"/>
    <w:rsid w:val="5861C1C0"/>
    <w:rsid w:val="58713CDC"/>
    <w:rsid w:val="5878B1EC"/>
    <w:rsid w:val="587B7B31"/>
    <w:rsid w:val="587DB00D"/>
    <w:rsid w:val="588FA7DB"/>
    <w:rsid w:val="588FFD07"/>
    <w:rsid w:val="58991B8C"/>
    <w:rsid w:val="58DA9F75"/>
    <w:rsid w:val="58DD5AE3"/>
    <w:rsid w:val="58E79448"/>
    <w:rsid w:val="58E90EEC"/>
    <w:rsid w:val="592D7E0B"/>
    <w:rsid w:val="5931262F"/>
    <w:rsid w:val="59402EA4"/>
    <w:rsid w:val="59591049"/>
    <w:rsid w:val="5960665E"/>
    <w:rsid w:val="597E31E5"/>
    <w:rsid w:val="59A3E629"/>
    <w:rsid w:val="59D73135"/>
    <w:rsid w:val="59F9A79A"/>
    <w:rsid w:val="5A23CC7C"/>
    <w:rsid w:val="5A261359"/>
    <w:rsid w:val="5A46632F"/>
    <w:rsid w:val="5A614954"/>
    <w:rsid w:val="5A888CAB"/>
    <w:rsid w:val="5AA8D157"/>
    <w:rsid w:val="5AC2631B"/>
    <w:rsid w:val="5AD5B184"/>
    <w:rsid w:val="5AE09E05"/>
    <w:rsid w:val="5AE0A8F0"/>
    <w:rsid w:val="5B0057A3"/>
    <w:rsid w:val="5B0B5B42"/>
    <w:rsid w:val="5B56816C"/>
    <w:rsid w:val="5B682E16"/>
    <w:rsid w:val="5B7578B7"/>
    <w:rsid w:val="5B76A761"/>
    <w:rsid w:val="5B7E91AE"/>
    <w:rsid w:val="5B815482"/>
    <w:rsid w:val="5B9B9F70"/>
    <w:rsid w:val="5BC48B17"/>
    <w:rsid w:val="5BD00D8E"/>
    <w:rsid w:val="5BD72711"/>
    <w:rsid w:val="5C0F45E6"/>
    <w:rsid w:val="5C225AC6"/>
    <w:rsid w:val="5C340F9C"/>
    <w:rsid w:val="5C385E60"/>
    <w:rsid w:val="5C3C7023"/>
    <w:rsid w:val="5C583AFE"/>
    <w:rsid w:val="5C646A5B"/>
    <w:rsid w:val="5C755D35"/>
    <w:rsid w:val="5C8A2060"/>
    <w:rsid w:val="5CECFDED"/>
    <w:rsid w:val="5CF02F48"/>
    <w:rsid w:val="5CF8E5F9"/>
    <w:rsid w:val="5D464AC8"/>
    <w:rsid w:val="5D4AC4AA"/>
    <w:rsid w:val="5D590D20"/>
    <w:rsid w:val="5D5A3104"/>
    <w:rsid w:val="5D8656F5"/>
    <w:rsid w:val="5D930110"/>
    <w:rsid w:val="5DC49CC0"/>
    <w:rsid w:val="5DD2BD77"/>
    <w:rsid w:val="5DF50A59"/>
    <w:rsid w:val="5DF87569"/>
    <w:rsid w:val="5E02C6F1"/>
    <w:rsid w:val="5E13A7FC"/>
    <w:rsid w:val="5E304EAD"/>
    <w:rsid w:val="5E328ADC"/>
    <w:rsid w:val="5E42FC04"/>
    <w:rsid w:val="5E4F0F19"/>
    <w:rsid w:val="5E57B35C"/>
    <w:rsid w:val="5E5976AA"/>
    <w:rsid w:val="5E7231E7"/>
    <w:rsid w:val="5E9276A7"/>
    <w:rsid w:val="5E9DBC7C"/>
    <w:rsid w:val="5EB46F28"/>
    <w:rsid w:val="5EE17F3F"/>
    <w:rsid w:val="5EEABAF6"/>
    <w:rsid w:val="5EF4DD81"/>
    <w:rsid w:val="5EF79760"/>
    <w:rsid w:val="5F02E9A6"/>
    <w:rsid w:val="5F02F1F9"/>
    <w:rsid w:val="5F334D53"/>
    <w:rsid w:val="5F3533F3"/>
    <w:rsid w:val="5F3CE319"/>
    <w:rsid w:val="5F41AB60"/>
    <w:rsid w:val="5F46C4E6"/>
    <w:rsid w:val="5F61EE42"/>
    <w:rsid w:val="5FD064E2"/>
    <w:rsid w:val="5FD69BA8"/>
    <w:rsid w:val="5FF82457"/>
    <w:rsid w:val="600B6705"/>
    <w:rsid w:val="601A1F71"/>
    <w:rsid w:val="6032ED4B"/>
    <w:rsid w:val="6033A36E"/>
    <w:rsid w:val="603991B2"/>
    <w:rsid w:val="603F2DAF"/>
    <w:rsid w:val="6062B3A5"/>
    <w:rsid w:val="6062CA51"/>
    <w:rsid w:val="6087CEFF"/>
    <w:rsid w:val="608B931C"/>
    <w:rsid w:val="6099446F"/>
    <w:rsid w:val="60A37EB1"/>
    <w:rsid w:val="60ADAE8E"/>
    <w:rsid w:val="60D1B681"/>
    <w:rsid w:val="60DD9F4B"/>
    <w:rsid w:val="60E6FE74"/>
    <w:rsid w:val="60EE129C"/>
    <w:rsid w:val="60F570C4"/>
    <w:rsid w:val="6100F418"/>
    <w:rsid w:val="610AC113"/>
    <w:rsid w:val="615355DC"/>
    <w:rsid w:val="616645D2"/>
    <w:rsid w:val="617E1285"/>
    <w:rsid w:val="6181B175"/>
    <w:rsid w:val="618AB65B"/>
    <w:rsid w:val="618ADE0F"/>
    <w:rsid w:val="61A9D2A9"/>
    <w:rsid w:val="61AB01F5"/>
    <w:rsid w:val="61CA1769"/>
    <w:rsid w:val="61DAFE10"/>
    <w:rsid w:val="620FE459"/>
    <w:rsid w:val="6210CFAB"/>
    <w:rsid w:val="62492364"/>
    <w:rsid w:val="624DB80B"/>
    <w:rsid w:val="62962129"/>
    <w:rsid w:val="6298277F"/>
    <w:rsid w:val="62AD054C"/>
    <w:rsid w:val="62AFFCA9"/>
    <w:rsid w:val="62BD0FB7"/>
    <w:rsid w:val="62C81FF3"/>
    <w:rsid w:val="62E27A99"/>
    <w:rsid w:val="62F06D63"/>
    <w:rsid w:val="6303A74C"/>
    <w:rsid w:val="631EA75F"/>
    <w:rsid w:val="63292ED4"/>
    <w:rsid w:val="6330E451"/>
    <w:rsid w:val="636D869F"/>
    <w:rsid w:val="6372F832"/>
    <w:rsid w:val="638D6777"/>
    <w:rsid w:val="63BE2DD8"/>
    <w:rsid w:val="63CCF238"/>
    <w:rsid w:val="63DED76F"/>
    <w:rsid w:val="63EAB74D"/>
    <w:rsid w:val="640104F5"/>
    <w:rsid w:val="64129B3F"/>
    <w:rsid w:val="641A562F"/>
    <w:rsid w:val="642D1186"/>
    <w:rsid w:val="6433FEC4"/>
    <w:rsid w:val="6447A2F0"/>
    <w:rsid w:val="6448883D"/>
    <w:rsid w:val="6459A787"/>
    <w:rsid w:val="6460FB9A"/>
    <w:rsid w:val="646F7C40"/>
    <w:rsid w:val="647AC00D"/>
    <w:rsid w:val="648C3DC4"/>
    <w:rsid w:val="64916D35"/>
    <w:rsid w:val="64C00FD2"/>
    <w:rsid w:val="64DD0EC4"/>
    <w:rsid w:val="6501D583"/>
    <w:rsid w:val="652C11E7"/>
    <w:rsid w:val="65385E32"/>
    <w:rsid w:val="65547134"/>
    <w:rsid w:val="655C0EA3"/>
    <w:rsid w:val="65800D76"/>
    <w:rsid w:val="658EE44B"/>
    <w:rsid w:val="65C019CB"/>
    <w:rsid w:val="65C06EE6"/>
    <w:rsid w:val="65C4E7B0"/>
    <w:rsid w:val="65DD9F1B"/>
    <w:rsid w:val="65E95E33"/>
    <w:rsid w:val="66112599"/>
    <w:rsid w:val="661B6EB3"/>
    <w:rsid w:val="662238C9"/>
    <w:rsid w:val="6630D429"/>
    <w:rsid w:val="664E1B7E"/>
    <w:rsid w:val="669843FC"/>
    <w:rsid w:val="66B552B5"/>
    <w:rsid w:val="66D7F849"/>
    <w:rsid w:val="66E192DA"/>
    <w:rsid w:val="66EB6EFC"/>
    <w:rsid w:val="66F04195"/>
    <w:rsid w:val="66F2F5FD"/>
    <w:rsid w:val="671713B2"/>
    <w:rsid w:val="6721292E"/>
    <w:rsid w:val="672E278A"/>
    <w:rsid w:val="673D5FD7"/>
    <w:rsid w:val="674435AF"/>
    <w:rsid w:val="674A29DB"/>
    <w:rsid w:val="67542B60"/>
    <w:rsid w:val="6779A722"/>
    <w:rsid w:val="6779CCEA"/>
    <w:rsid w:val="67989C5C"/>
    <w:rsid w:val="679B68F8"/>
    <w:rsid w:val="67A5C98E"/>
    <w:rsid w:val="67BA01B4"/>
    <w:rsid w:val="67EC4881"/>
    <w:rsid w:val="67F1D798"/>
    <w:rsid w:val="67FF2FBB"/>
    <w:rsid w:val="67FFEBD0"/>
    <w:rsid w:val="680DAA3C"/>
    <w:rsid w:val="68178991"/>
    <w:rsid w:val="6829D0FB"/>
    <w:rsid w:val="6836A640"/>
    <w:rsid w:val="6837F608"/>
    <w:rsid w:val="684BF3C7"/>
    <w:rsid w:val="68526DD5"/>
    <w:rsid w:val="68735153"/>
    <w:rsid w:val="689F93D0"/>
    <w:rsid w:val="68AE2791"/>
    <w:rsid w:val="68C34F87"/>
    <w:rsid w:val="68CD2D10"/>
    <w:rsid w:val="68D8DE87"/>
    <w:rsid w:val="691BF960"/>
    <w:rsid w:val="69210150"/>
    <w:rsid w:val="6923683A"/>
    <w:rsid w:val="6953A8C5"/>
    <w:rsid w:val="6961D658"/>
    <w:rsid w:val="697FB8AD"/>
    <w:rsid w:val="69AF03B2"/>
    <w:rsid w:val="69B4EC2D"/>
    <w:rsid w:val="69C620A8"/>
    <w:rsid w:val="69D713D3"/>
    <w:rsid w:val="69D7CF60"/>
    <w:rsid w:val="69D93E6A"/>
    <w:rsid w:val="69F2FC11"/>
    <w:rsid w:val="69F6A307"/>
    <w:rsid w:val="69F9CCA2"/>
    <w:rsid w:val="6A0B139A"/>
    <w:rsid w:val="6A140353"/>
    <w:rsid w:val="6A25D1D0"/>
    <w:rsid w:val="6A3681FB"/>
    <w:rsid w:val="6A81CA9D"/>
    <w:rsid w:val="6A8E0E68"/>
    <w:rsid w:val="6AAC30F6"/>
    <w:rsid w:val="6AD03D1E"/>
    <w:rsid w:val="6AD84893"/>
    <w:rsid w:val="6B2A22AD"/>
    <w:rsid w:val="6B3E095C"/>
    <w:rsid w:val="6B77DA6F"/>
    <w:rsid w:val="6B79C9D3"/>
    <w:rsid w:val="6BAB8CB4"/>
    <w:rsid w:val="6BC573FE"/>
    <w:rsid w:val="6BE856CF"/>
    <w:rsid w:val="6C3DB692"/>
    <w:rsid w:val="6C471DB3"/>
    <w:rsid w:val="6C6E0F44"/>
    <w:rsid w:val="6C80A989"/>
    <w:rsid w:val="6C88CF2D"/>
    <w:rsid w:val="6C94EF0E"/>
    <w:rsid w:val="6CAD0550"/>
    <w:rsid w:val="6CC7DCDA"/>
    <w:rsid w:val="6CCF1721"/>
    <w:rsid w:val="6CD2F348"/>
    <w:rsid w:val="6CD9F44B"/>
    <w:rsid w:val="6CEB38AA"/>
    <w:rsid w:val="6D08E04C"/>
    <w:rsid w:val="6D1C0873"/>
    <w:rsid w:val="6D23FF13"/>
    <w:rsid w:val="6D475D15"/>
    <w:rsid w:val="6D6A0AF8"/>
    <w:rsid w:val="6D6FF201"/>
    <w:rsid w:val="6D9BAD09"/>
    <w:rsid w:val="6DADDE23"/>
    <w:rsid w:val="6DB11260"/>
    <w:rsid w:val="6DBA4594"/>
    <w:rsid w:val="6DC67BF0"/>
    <w:rsid w:val="6DD08362"/>
    <w:rsid w:val="6DD95BE8"/>
    <w:rsid w:val="6DE2808B"/>
    <w:rsid w:val="6DE432D5"/>
    <w:rsid w:val="6E07FB7F"/>
    <w:rsid w:val="6E30681B"/>
    <w:rsid w:val="6E440644"/>
    <w:rsid w:val="6E492B40"/>
    <w:rsid w:val="6E5119D8"/>
    <w:rsid w:val="6E6F2D54"/>
    <w:rsid w:val="6E8A21F2"/>
    <w:rsid w:val="6E8DCD2D"/>
    <w:rsid w:val="6E930EA6"/>
    <w:rsid w:val="6EBFCF74"/>
    <w:rsid w:val="6ECB6058"/>
    <w:rsid w:val="6ED201B0"/>
    <w:rsid w:val="6ED57BF8"/>
    <w:rsid w:val="6ED581EB"/>
    <w:rsid w:val="6EFA1CA1"/>
    <w:rsid w:val="6F08E145"/>
    <w:rsid w:val="6F0BF25D"/>
    <w:rsid w:val="6F148574"/>
    <w:rsid w:val="6F1B45A0"/>
    <w:rsid w:val="6F3FE8EF"/>
    <w:rsid w:val="6F53DBC0"/>
    <w:rsid w:val="6F553BC0"/>
    <w:rsid w:val="6F617F8B"/>
    <w:rsid w:val="6F697C0C"/>
    <w:rsid w:val="6F7C233C"/>
    <w:rsid w:val="6F8D3325"/>
    <w:rsid w:val="6F90D46F"/>
    <w:rsid w:val="6F966605"/>
    <w:rsid w:val="6FBA1C6D"/>
    <w:rsid w:val="6FCA3929"/>
    <w:rsid w:val="6FDEABD1"/>
    <w:rsid w:val="6FDFD9FC"/>
    <w:rsid w:val="6FE64F11"/>
    <w:rsid w:val="6FEE47DD"/>
    <w:rsid w:val="701036F1"/>
    <w:rsid w:val="70334763"/>
    <w:rsid w:val="7036A17B"/>
    <w:rsid w:val="70444D05"/>
    <w:rsid w:val="70622710"/>
    <w:rsid w:val="707FC81A"/>
    <w:rsid w:val="7081F5E7"/>
    <w:rsid w:val="70A49B63"/>
    <w:rsid w:val="70C42E26"/>
    <w:rsid w:val="70DDE586"/>
    <w:rsid w:val="70E0B230"/>
    <w:rsid w:val="70E9918F"/>
    <w:rsid w:val="7102BA42"/>
    <w:rsid w:val="713BD77F"/>
    <w:rsid w:val="714BB39A"/>
    <w:rsid w:val="715EDE0B"/>
    <w:rsid w:val="7164A446"/>
    <w:rsid w:val="718A183E"/>
    <w:rsid w:val="7193D788"/>
    <w:rsid w:val="71AADD89"/>
    <w:rsid w:val="71DB9D3E"/>
    <w:rsid w:val="71DCCC7B"/>
    <w:rsid w:val="71E30399"/>
    <w:rsid w:val="71EA35B2"/>
    <w:rsid w:val="71EAC427"/>
    <w:rsid w:val="71EB8A21"/>
    <w:rsid w:val="72057BE8"/>
    <w:rsid w:val="720FC9E7"/>
    <w:rsid w:val="7211677C"/>
    <w:rsid w:val="7214A7D0"/>
    <w:rsid w:val="721D10F2"/>
    <w:rsid w:val="722041A6"/>
    <w:rsid w:val="72230D6F"/>
    <w:rsid w:val="722AE73D"/>
    <w:rsid w:val="723C4A7F"/>
    <w:rsid w:val="7258C145"/>
    <w:rsid w:val="72CD8E7F"/>
    <w:rsid w:val="72D52CF7"/>
    <w:rsid w:val="72D6A745"/>
    <w:rsid w:val="72F1BD2F"/>
    <w:rsid w:val="7313D962"/>
    <w:rsid w:val="731F1920"/>
    <w:rsid w:val="7321E70C"/>
    <w:rsid w:val="73238643"/>
    <w:rsid w:val="7328303B"/>
    <w:rsid w:val="734A3D9B"/>
    <w:rsid w:val="735CA64D"/>
    <w:rsid w:val="736DDB68"/>
    <w:rsid w:val="7386BD71"/>
    <w:rsid w:val="73985E44"/>
    <w:rsid w:val="73B4FC05"/>
    <w:rsid w:val="73C6F674"/>
    <w:rsid w:val="73CF393D"/>
    <w:rsid w:val="73D4201F"/>
    <w:rsid w:val="73E37C77"/>
    <w:rsid w:val="73F54EA0"/>
    <w:rsid w:val="74055342"/>
    <w:rsid w:val="743F1CBB"/>
    <w:rsid w:val="745355FB"/>
    <w:rsid w:val="74596A2D"/>
    <w:rsid w:val="7460A9EE"/>
    <w:rsid w:val="748C7429"/>
    <w:rsid w:val="74A8F01C"/>
    <w:rsid w:val="74B795F7"/>
    <w:rsid w:val="74BBFDB4"/>
    <w:rsid w:val="74E47AA4"/>
    <w:rsid w:val="74F96376"/>
    <w:rsid w:val="74FA15A3"/>
    <w:rsid w:val="750F31F5"/>
    <w:rsid w:val="75313E37"/>
    <w:rsid w:val="7539469D"/>
    <w:rsid w:val="75401A3D"/>
    <w:rsid w:val="75526EFA"/>
    <w:rsid w:val="7556B1A5"/>
    <w:rsid w:val="7556E940"/>
    <w:rsid w:val="7570BAF7"/>
    <w:rsid w:val="75918E40"/>
    <w:rsid w:val="7595BE76"/>
    <w:rsid w:val="759E571A"/>
    <w:rsid w:val="75DF814E"/>
    <w:rsid w:val="75DFEAE3"/>
    <w:rsid w:val="76043E6C"/>
    <w:rsid w:val="7613F044"/>
    <w:rsid w:val="761B2CC0"/>
    <w:rsid w:val="761B89A0"/>
    <w:rsid w:val="762E0AD3"/>
    <w:rsid w:val="76362984"/>
    <w:rsid w:val="7676172D"/>
    <w:rsid w:val="768451C7"/>
    <w:rsid w:val="768A805E"/>
    <w:rsid w:val="7695E604"/>
    <w:rsid w:val="76C2E670"/>
    <w:rsid w:val="76C40EB9"/>
    <w:rsid w:val="76E8105D"/>
    <w:rsid w:val="76F07938"/>
    <w:rsid w:val="76FB8403"/>
    <w:rsid w:val="76FD9FCD"/>
    <w:rsid w:val="76FE1B42"/>
    <w:rsid w:val="76FEF064"/>
    <w:rsid w:val="770192C6"/>
    <w:rsid w:val="7705333B"/>
    <w:rsid w:val="770B4A5C"/>
    <w:rsid w:val="770D287B"/>
    <w:rsid w:val="771FD6CC"/>
    <w:rsid w:val="7763F446"/>
    <w:rsid w:val="77684B48"/>
    <w:rsid w:val="776D2297"/>
    <w:rsid w:val="77714E2A"/>
    <w:rsid w:val="7776F16B"/>
    <w:rsid w:val="77999196"/>
    <w:rsid w:val="77AFC0A5"/>
    <w:rsid w:val="77B860EE"/>
    <w:rsid w:val="77BA8047"/>
    <w:rsid w:val="77FDCFC0"/>
    <w:rsid w:val="78034F6A"/>
    <w:rsid w:val="7804CF3E"/>
    <w:rsid w:val="78118F41"/>
    <w:rsid w:val="78194A92"/>
    <w:rsid w:val="78213B13"/>
    <w:rsid w:val="7831B665"/>
    <w:rsid w:val="7843090E"/>
    <w:rsid w:val="7845AD7E"/>
    <w:rsid w:val="78484140"/>
    <w:rsid w:val="787C5DF5"/>
    <w:rsid w:val="7886A27B"/>
    <w:rsid w:val="788DC63F"/>
    <w:rsid w:val="78962891"/>
    <w:rsid w:val="7898EF3D"/>
    <w:rsid w:val="78A70B52"/>
    <w:rsid w:val="78A97143"/>
    <w:rsid w:val="78C9DFA0"/>
    <w:rsid w:val="78DC698A"/>
    <w:rsid w:val="791A8116"/>
    <w:rsid w:val="791B0D61"/>
    <w:rsid w:val="79462619"/>
    <w:rsid w:val="795B869B"/>
    <w:rsid w:val="797408FC"/>
    <w:rsid w:val="7978151D"/>
    <w:rsid w:val="79922D20"/>
    <w:rsid w:val="79B54709"/>
    <w:rsid w:val="79C302FE"/>
    <w:rsid w:val="79C675A4"/>
    <w:rsid w:val="79D5744C"/>
    <w:rsid w:val="79E20941"/>
    <w:rsid w:val="79EFE0F9"/>
    <w:rsid w:val="7A07D3B5"/>
    <w:rsid w:val="7A471903"/>
    <w:rsid w:val="7A7338CE"/>
    <w:rsid w:val="7A767AA0"/>
    <w:rsid w:val="7A79E032"/>
    <w:rsid w:val="7A8C015A"/>
    <w:rsid w:val="7AA3A906"/>
    <w:rsid w:val="7ABF9413"/>
    <w:rsid w:val="7AC0E9EE"/>
    <w:rsid w:val="7ACB1A5A"/>
    <w:rsid w:val="7ADE8BE3"/>
    <w:rsid w:val="7AE78712"/>
    <w:rsid w:val="7AFCCF14"/>
    <w:rsid w:val="7B02FDE3"/>
    <w:rsid w:val="7B4A7481"/>
    <w:rsid w:val="7B820E2B"/>
    <w:rsid w:val="7B827060"/>
    <w:rsid w:val="7BBB8180"/>
    <w:rsid w:val="7BC0FB7E"/>
    <w:rsid w:val="7BC1E590"/>
    <w:rsid w:val="7BC98A40"/>
    <w:rsid w:val="7BF3CAF7"/>
    <w:rsid w:val="7BFE0AA3"/>
    <w:rsid w:val="7C2EE1E9"/>
    <w:rsid w:val="7C40B2A8"/>
    <w:rsid w:val="7C45CCEB"/>
    <w:rsid w:val="7C464F30"/>
    <w:rsid w:val="7C4862BD"/>
    <w:rsid w:val="7C6F037A"/>
    <w:rsid w:val="7C762118"/>
    <w:rsid w:val="7C7CAB41"/>
    <w:rsid w:val="7C7DF4FC"/>
    <w:rsid w:val="7C8331C8"/>
    <w:rsid w:val="7C8939FE"/>
    <w:rsid w:val="7CA22507"/>
    <w:rsid w:val="7CAD4773"/>
    <w:rsid w:val="7CD913D5"/>
    <w:rsid w:val="7CFCCC63"/>
    <w:rsid w:val="7D0353C0"/>
    <w:rsid w:val="7D157331"/>
    <w:rsid w:val="7D22F241"/>
    <w:rsid w:val="7D39D511"/>
    <w:rsid w:val="7D44F1CF"/>
    <w:rsid w:val="7D478102"/>
    <w:rsid w:val="7D496755"/>
    <w:rsid w:val="7D53A28C"/>
    <w:rsid w:val="7D6CB005"/>
    <w:rsid w:val="7D96FEF6"/>
    <w:rsid w:val="7D9C1EE1"/>
    <w:rsid w:val="7D9D9958"/>
    <w:rsid w:val="7D9DBCAF"/>
    <w:rsid w:val="7DDCE9A1"/>
    <w:rsid w:val="7DDFA6A9"/>
    <w:rsid w:val="7DE72416"/>
    <w:rsid w:val="7DF3F383"/>
    <w:rsid w:val="7DFA73A2"/>
    <w:rsid w:val="7E023477"/>
    <w:rsid w:val="7E027782"/>
    <w:rsid w:val="7E031843"/>
    <w:rsid w:val="7E0D4AAE"/>
    <w:rsid w:val="7E545E6B"/>
    <w:rsid w:val="7E5D91C9"/>
    <w:rsid w:val="7E771396"/>
    <w:rsid w:val="7E7C6BBE"/>
    <w:rsid w:val="7EAE1CE6"/>
    <w:rsid w:val="7EC1D682"/>
    <w:rsid w:val="7ECC2992"/>
    <w:rsid w:val="7ECD87DA"/>
    <w:rsid w:val="7F52BE66"/>
    <w:rsid w:val="7F582B3C"/>
    <w:rsid w:val="7F584DBA"/>
    <w:rsid w:val="7F6736E3"/>
    <w:rsid w:val="7F77509E"/>
    <w:rsid w:val="7FA524C7"/>
    <w:rsid w:val="7FAE4EA9"/>
    <w:rsid w:val="7FB7DA92"/>
    <w:rsid w:val="7FC7338A"/>
    <w:rsid w:val="7FCC9BF7"/>
    <w:rsid w:val="7FE6EC76"/>
    <w:rsid w:val="7FF0165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D0BF6A"/>
  <w15:chartTrackingRefBased/>
  <w15:docId w15:val="{B956F8E6-5DFB-45FA-AF83-140988A3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84A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484A33"/>
    <w:pPr>
      <w:keepNext/>
      <w:keepLines/>
      <w:numPr>
        <w:numId w:val="1"/>
      </w:numPr>
      <w:spacing w:before="40" w:after="0"/>
      <w:outlineLvl w:val="1"/>
    </w:pPr>
    <w:rPr>
      <w:rFonts w:ascii="Arial" w:eastAsia="Times New Roman" w:hAnsi="Arial" w:cs="Arial"/>
      <w:b/>
      <w:bCs/>
      <w:sz w:val="27"/>
      <w:szCs w:val="27"/>
    </w:rPr>
  </w:style>
  <w:style w:type="paragraph" w:styleId="Rubrik3">
    <w:name w:val="heading 3"/>
    <w:basedOn w:val="Normal"/>
    <w:next w:val="Normal"/>
    <w:link w:val="Rubrik3Char"/>
    <w:uiPriority w:val="9"/>
    <w:unhideWhenUsed/>
    <w:qFormat/>
    <w:rsid w:val="00484A33"/>
    <w:pPr>
      <w:spacing w:line="276" w:lineRule="auto"/>
      <w:outlineLvl w:val="2"/>
    </w:pPr>
    <w:rPr>
      <w:rFonts w:ascii="Arial" w:hAnsi="Arial" w:cs="Arial"/>
      <w:b/>
      <w:b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1">
    <w:name w:val="A1"/>
    <w:basedOn w:val="Standardstycketeckensnitt"/>
    <w:rsid w:val="4075A125"/>
    <w:rPr>
      <w:rFonts w:asciiTheme="minorHAnsi" w:eastAsiaTheme="minorEastAsia" w:hAnsiTheme="minorHAnsi" w:cs="DINPro-Light"/>
      <w:color w:val="000000" w:themeColor="text1"/>
      <w:sz w:val="22"/>
      <w:szCs w:val="22"/>
    </w:rPr>
  </w:style>
  <w:style w:type="character" w:customStyle="1" w:styleId="normaltextrun">
    <w:name w:val="normaltextrun"/>
    <w:basedOn w:val="Standardstycketeckensnitt"/>
    <w:rsid w:val="4075A125"/>
  </w:style>
  <w:style w:type="paragraph" w:customStyle="1" w:styleId="paragraph">
    <w:name w:val="paragraph"/>
    <w:basedOn w:val="Normal"/>
    <w:rsid w:val="4075A125"/>
    <w:pPr>
      <w:spacing w:beforeAutospacing="1" w:afterAutospacing="1"/>
    </w:pPr>
    <w:rPr>
      <w:rFonts w:ascii="Times New Roman" w:eastAsia="Times New Roman" w:hAnsi="Times New Roman" w:cs="Times New Roman"/>
      <w:sz w:val="24"/>
      <w:szCs w:val="24"/>
      <w:lang w:eastAsia="sv-SE"/>
    </w:rPr>
  </w:style>
  <w:style w:type="paragraph" w:styleId="Liststycke">
    <w:name w:val="List Paragraph"/>
    <w:basedOn w:val="Normal"/>
    <w:uiPriority w:val="34"/>
    <w:qFormat/>
    <w:pPr>
      <w:ind w:left="720"/>
      <w:contextualSpacing/>
    </w:p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mn">
    <w:name w:val="Mention"/>
    <w:basedOn w:val="Standardstycketeckensnitt"/>
    <w:uiPriority w:val="99"/>
    <w:unhideWhenUsed/>
    <w:rPr>
      <w:color w:val="2B579A"/>
      <w:shd w:val="clear" w:color="auto" w:fill="E6E6E6"/>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F678A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678AD"/>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DB31BA"/>
    <w:rPr>
      <w:b/>
      <w:bCs/>
    </w:rPr>
  </w:style>
  <w:style w:type="character" w:customStyle="1" w:styleId="KommentarsmneChar">
    <w:name w:val="Kommentarsämne Char"/>
    <w:basedOn w:val="KommentarerChar"/>
    <w:link w:val="Kommentarsmne"/>
    <w:uiPriority w:val="99"/>
    <w:semiHidden/>
    <w:rsid w:val="00DB31BA"/>
    <w:rPr>
      <w:b/>
      <w:bCs/>
      <w:sz w:val="20"/>
      <w:szCs w:val="20"/>
    </w:rPr>
  </w:style>
  <w:style w:type="character" w:customStyle="1" w:styleId="Rubrik1Char">
    <w:name w:val="Rubrik 1 Char"/>
    <w:basedOn w:val="Standardstycketeckensnitt"/>
    <w:link w:val="Rubrik1"/>
    <w:uiPriority w:val="9"/>
    <w:rsid w:val="00484A33"/>
    <w:rPr>
      <w:rFonts w:asciiTheme="majorHAnsi" w:eastAsiaTheme="majorEastAsia" w:hAnsiTheme="majorHAnsi" w:cstheme="majorBidi"/>
      <w:color w:val="2F5496" w:themeColor="accent1" w:themeShade="BF"/>
      <w:sz w:val="32"/>
      <w:szCs w:val="32"/>
    </w:rPr>
  </w:style>
  <w:style w:type="paragraph" w:customStyle="1" w:styleId="Formatmall1">
    <w:name w:val="Formatmall1"/>
    <w:basedOn w:val="Rubrik1"/>
    <w:link w:val="Formatmall1Char"/>
    <w:qFormat/>
    <w:rsid w:val="00484A33"/>
    <w:rPr>
      <w:rFonts w:ascii="Arial" w:eastAsia="Times New Roman" w:hAnsi="Arial" w:cs="Arial"/>
      <w:b/>
      <w:bCs/>
      <w:sz w:val="28"/>
      <w:szCs w:val="28"/>
    </w:rPr>
  </w:style>
  <w:style w:type="character" w:customStyle="1" w:styleId="Rubrik2Char">
    <w:name w:val="Rubrik 2 Char"/>
    <w:basedOn w:val="Standardstycketeckensnitt"/>
    <w:link w:val="Rubrik2"/>
    <w:uiPriority w:val="9"/>
    <w:rsid w:val="00484A33"/>
    <w:rPr>
      <w:rFonts w:ascii="Arial" w:eastAsia="Times New Roman" w:hAnsi="Arial" w:cs="Arial"/>
      <w:b/>
      <w:bCs/>
      <w:sz w:val="27"/>
      <w:szCs w:val="27"/>
    </w:rPr>
  </w:style>
  <w:style w:type="character" w:customStyle="1" w:styleId="Formatmall1Char">
    <w:name w:val="Formatmall1 Char"/>
    <w:basedOn w:val="Rubrik1Char"/>
    <w:link w:val="Formatmall1"/>
    <w:rsid w:val="00484A33"/>
    <w:rPr>
      <w:rFonts w:ascii="Arial" w:eastAsia="Times New Roman" w:hAnsi="Arial" w:cs="Arial"/>
      <w:b/>
      <w:bCs/>
      <w:color w:val="2F5496" w:themeColor="accent1" w:themeShade="BF"/>
      <w:sz w:val="28"/>
      <w:szCs w:val="28"/>
    </w:rPr>
  </w:style>
  <w:style w:type="character" w:customStyle="1" w:styleId="Rubrik3Char">
    <w:name w:val="Rubrik 3 Char"/>
    <w:basedOn w:val="Standardstycketeckensnitt"/>
    <w:link w:val="Rubrik3"/>
    <w:uiPriority w:val="9"/>
    <w:rsid w:val="00484A33"/>
    <w:rPr>
      <w:rFonts w:ascii="Arial" w:hAnsi="Arial" w:cs="Arial"/>
      <w:b/>
      <w:bCs/>
      <w:sz w:val="21"/>
      <w:szCs w:val="21"/>
    </w:rPr>
  </w:style>
  <w:style w:type="paragraph" w:styleId="Innehllsfrteckningsrubrik">
    <w:name w:val="TOC Heading"/>
    <w:basedOn w:val="Rubrik1"/>
    <w:next w:val="Normal"/>
    <w:uiPriority w:val="39"/>
    <w:unhideWhenUsed/>
    <w:qFormat/>
    <w:rsid w:val="00326E95"/>
    <w:pPr>
      <w:outlineLvl w:val="9"/>
    </w:pPr>
    <w:rPr>
      <w:lang w:eastAsia="sv-SE"/>
    </w:rPr>
  </w:style>
  <w:style w:type="paragraph" w:styleId="Innehll1">
    <w:name w:val="toc 1"/>
    <w:basedOn w:val="Normal"/>
    <w:next w:val="Normal"/>
    <w:autoRedefine/>
    <w:uiPriority w:val="39"/>
    <w:unhideWhenUsed/>
    <w:rsid w:val="00326E95"/>
    <w:pPr>
      <w:spacing w:after="100"/>
    </w:pPr>
  </w:style>
  <w:style w:type="paragraph" w:styleId="Innehll2">
    <w:name w:val="toc 2"/>
    <w:basedOn w:val="Normal"/>
    <w:next w:val="Normal"/>
    <w:autoRedefine/>
    <w:uiPriority w:val="39"/>
    <w:unhideWhenUsed/>
    <w:rsid w:val="00326E95"/>
    <w:pPr>
      <w:spacing w:after="100"/>
      <w:ind w:left="220"/>
    </w:pPr>
  </w:style>
  <w:style w:type="paragraph" w:styleId="Sidhuvud">
    <w:name w:val="header"/>
    <w:basedOn w:val="Normal"/>
    <w:link w:val="SidhuvudChar"/>
    <w:uiPriority w:val="99"/>
    <w:unhideWhenUsed/>
    <w:rsid w:val="004340C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340C8"/>
  </w:style>
  <w:style w:type="paragraph" w:styleId="Sidfot">
    <w:name w:val="footer"/>
    <w:basedOn w:val="Normal"/>
    <w:link w:val="SidfotChar"/>
    <w:uiPriority w:val="99"/>
    <w:unhideWhenUsed/>
    <w:rsid w:val="004340C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3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176373FD1D134E80AFF147B84747FF" ma:contentTypeVersion="9" ma:contentTypeDescription="Skapa ett nytt dokument." ma:contentTypeScope="" ma:versionID="744ffd6734a7d2b3bbc7ee6d4eb84fec">
  <xsd:schema xmlns:xsd="http://www.w3.org/2001/XMLSchema" xmlns:xs="http://www.w3.org/2001/XMLSchema" xmlns:p="http://schemas.microsoft.com/office/2006/metadata/properties" xmlns:ns2="731a8206-baf6-4e9f-b2ad-eb80ef151c3f" xmlns:ns3="f854cec1-c6a4-43d6-b873-0a06b8c9dad7" targetNamespace="http://schemas.microsoft.com/office/2006/metadata/properties" ma:root="true" ma:fieldsID="873ec47d53f728ed7218e15473b8ed9f" ns2:_="" ns3:_="">
    <xsd:import namespace="731a8206-baf6-4e9f-b2ad-eb80ef151c3f"/>
    <xsd:import namespace="f854cec1-c6a4-43d6-b873-0a06b8c9da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a8206-baf6-4e9f-b2ad-eb80ef151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4cec1-c6a4-43d6-b873-0a06b8c9dad7"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E67E2-A859-433B-B589-2F6715BFCA64}">
  <ds:schemaRefs>
    <ds:schemaRef ds:uri="http://schemas.openxmlformats.org/officeDocument/2006/bibliography"/>
  </ds:schemaRefs>
</ds:datastoreItem>
</file>

<file path=customXml/itemProps2.xml><?xml version="1.0" encoding="utf-8"?>
<ds:datastoreItem xmlns:ds="http://schemas.openxmlformats.org/officeDocument/2006/customXml" ds:itemID="{691AED36-FDD1-4795-9E8D-4AD4D2002E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C6EC96-AE1F-4170-9D1D-ECB9FFC8885F}">
  <ds:schemaRefs>
    <ds:schemaRef ds:uri="http://schemas.microsoft.com/sharepoint/v3/contenttype/forms"/>
  </ds:schemaRefs>
</ds:datastoreItem>
</file>

<file path=customXml/itemProps4.xml><?xml version="1.0" encoding="utf-8"?>
<ds:datastoreItem xmlns:ds="http://schemas.openxmlformats.org/officeDocument/2006/customXml" ds:itemID="{F3B8D7EF-47C9-426E-B922-75BB2453A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a8206-baf6-4e9f-b2ad-eb80ef151c3f"/>
    <ds:schemaRef ds:uri="f854cec1-c6a4-43d6-b873-0a06b8c9d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10567</Words>
  <Characters>56008</Characters>
  <Application>Microsoft Office Word</Application>
  <DocSecurity>8</DocSecurity>
  <Lines>466</Lines>
  <Paragraphs>132</Paragraphs>
  <ScaleCrop>false</ScaleCrop>
  <Company/>
  <LinksUpToDate>false</LinksUpToDate>
  <CharactersWithSpaces>66443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Borvén</dc:creator>
  <cp:keywords/>
  <dc:description/>
  <cp:lastModifiedBy>Kurt Lindman</cp:lastModifiedBy>
  <cp:revision>2</cp:revision>
  <dcterms:created xsi:type="dcterms:W3CDTF">2022-02-02T16:30:00Z</dcterms:created>
  <dcterms:modified xsi:type="dcterms:W3CDTF">2022-02-02T16:30:00Z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0x01010072176373FD1D134E80AFF147B84747FF</vt:lpwstr>
  </property>
  <property fmtid="{D5CDD505-2E9C-101B-9397-08002B2CF9AE}" pid="3" name="SW_IntOfficeMacros">
    <vt:lpwstr>Disabled</vt:lpwstr>
  </property>
  <property fmtid="{D5CDD505-2E9C-101B-9397-08002B2CF9AE}" pid="4" name="SW_CustomTitle">
    <vt:lpwstr/>
  </property>
</Properties>
</file>