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0E822131" w14:textId="77777777" w:rsidTr="00A8112E">
        <w:tc>
          <w:tcPr>
            <w:tcW w:w="5103" w:type="dxa"/>
            <w:tcBorders>
              <w:bottom w:val="nil"/>
            </w:tcBorders>
            <w:vAlign w:val="center"/>
          </w:tcPr>
          <w:p w14:paraId="6C101E46" w14:textId="77777777" w:rsidR="00770200" w:rsidRDefault="00A00F23" w:rsidP="00945E7C">
            <w:pPr>
              <w:pStyle w:val="Sidhuvud"/>
            </w:pPr>
            <w:r>
              <w:rPr>
                <w:noProof/>
              </w:rPr>
              <w:drawing>
                <wp:inline distT="0" distB="0" distL="0" distR="0" wp14:anchorId="68902736" wp14:editId="7D3D3481">
                  <wp:extent cx="1621790" cy="23749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237490"/>
                          </a:xfrm>
                          <a:prstGeom prst="rect">
                            <a:avLst/>
                          </a:prstGeom>
                          <a:noFill/>
                        </pic:spPr>
                      </pic:pic>
                    </a:graphicData>
                  </a:graphic>
                </wp:inline>
              </w:drawing>
            </w:r>
          </w:p>
        </w:tc>
        <w:tc>
          <w:tcPr>
            <w:tcW w:w="3969" w:type="dxa"/>
            <w:tcBorders>
              <w:bottom w:val="nil"/>
            </w:tcBorders>
          </w:tcPr>
          <w:p w14:paraId="41665971" w14:textId="77777777" w:rsidR="00770200" w:rsidRDefault="003F4EF3" w:rsidP="00945E7C">
            <w:pPr>
              <w:pStyle w:val="Sidhuvud"/>
              <w:jc w:val="right"/>
            </w:pPr>
            <w:r>
              <w:rPr>
                <w:noProof/>
              </w:rPr>
              <w:drawing>
                <wp:inline distT="0" distB="0" distL="0" distR="0" wp14:anchorId="30143CAA" wp14:editId="13680CB8">
                  <wp:extent cx="1439545" cy="482600"/>
                  <wp:effectExtent l="0" t="0" r="8255" b="0"/>
                  <wp:docPr id="1" name="Bildobjekt 1" descr="Göteborgs Stad logotyp" title="logo"/>
                  <wp:cNvGraphicFramePr/>
                  <a:graphic xmlns:a="http://schemas.openxmlformats.org/drawingml/2006/main">
                    <a:graphicData uri="http://schemas.openxmlformats.org/drawingml/2006/picture">
                      <pic:pic xmlns:pic="http://schemas.openxmlformats.org/drawingml/2006/picture">
                        <pic:nvPicPr>
                          <pic:cNvPr id="1" name="Bildobjekt 1" descr="Göteborgs Stad logotyp" title="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545" cy="482600"/>
                          </a:xfrm>
                          <a:prstGeom prst="rect">
                            <a:avLst/>
                          </a:prstGeom>
                        </pic:spPr>
                      </pic:pic>
                    </a:graphicData>
                  </a:graphic>
                </wp:inline>
              </w:drawing>
            </w:r>
          </w:p>
        </w:tc>
      </w:tr>
      <w:tr w:rsidR="00770200" w14:paraId="2A1BB9FA" w14:textId="77777777" w:rsidTr="000707CC">
        <w:tc>
          <w:tcPr>
            <w:tcW w:w="5103" w:type="dxa"/>
            <w:tcBorders>
              <w:top w:val="nil"/>
              <w:bottom w:val="single" w:sz="4" w:space="0" w:color="auto"/>
            </w:tcBorders>
            <w:shd w:val="clear" w:color="auto" w:fill="auto"/>
          </w:tcPr>
          <w:p w14:paraId="313FFFD0" w14:textId="77777777" w:rsidR="00770200" w:rsidRDefault="00770200" w:rsidP="00945E7C">
            <w:pPr>
              <w:pStyle w:val="Sidhuvud"/>
            </w:pPr>
          </w:p>
        </w:tc>
        <w:tc>
          <w:tcPr>
            <w:tcW w:w="3969" w:type="dxa"/>
            <w:tcBorders>
              <w:bottom w:val="single" w:sz="4" w:space="0" w:color="auto"/>
            </w:tcBorders>
            <w:shd w:val="clear" w:color="auto" w:fill="auto"/>
          </w:tcPr>
          <w:p w14:paraId="7F458C13" w14:textId="77777777" w:rsidR="00770200" w:rsidRDefault="00770200" w:rsidP="00945E7C">
            <w:pPr>
              <w:pStyle w:val="Sidhuvud"/>
              <w:jc w:val="right"/>
            </w:pPr>
          </w:p>
        </w:tc>
      </w:tr>
      <w:tr w:rsidR="000707CC" w14:paraId="2DD63A4F" w14:textId="77777777" w:rsidTr="000707CC">
        <w:tc>
          <w:tcPr>
            <w:tcW w:w="5103" w:type="dxa"/>
            <w:tcBorders>
              <w:top w:val="single" w:sz="4" w:space="0" w:color="auto"/>
              <w:bottom w:val="nil"/>
            </w:tcBorders>
            <w:shd w:val="clear" w:color="auto" w:fill="auto"/>
          </w:tcPr>
          <w:p w14:paraId="04BA7614" w14:textId="77777777" w:rsidR="000707CC" w:rsidRDefault="000707CC" w:rsidP="000707CC">
            <w:pPr>
              <w:pStyle w:val="Sidhuvud"/>
              <w:spacing w:after="160" w:afterAutospacing="0"/>
            </w:pPr>
          </w:p>
        </w:tc>
        <w:tc>
          <w:tcPr>
            <w:tcW w:w="3969" w:type="dxa"/>
            <w:tcBorders>
              <w:top w:val="single" w:sz="4" w:space="0" w:color="auto"/>
              <w:bottom w:val="nil"/>
            </w:tcBorders>
            <w:shd w:val="clear" w:color="auto" w:fill="auto"/>
          </w:tcPr>
          <w:p w14:paraId="005090F8" w14:textId="77777777" w:rsidR="000707CC" w:rsidRDefault="000707CC" w:rsidP="00945E7C">
            <w:pPr>
              <w:pStyle w:val="Sidhuvud"/>
              <w:jc w:val="right"/>
            </w:pPr>
          </w:p>
        </w:tc>
      </w:tr>
    </w:tbl>
    <w:p w14:paraId="739C1B33" w14:textId="5F0BFFB3" w:rsidR="002464C3" w:rsidRDefault="002464C3" w:rsidP="002464C3"/>
    <w:tbl>
      <w:tblPr>
        <w:tblStyle w:val="Tabellrutnt"/>
        <w:tblW w:w="9067" w:type="dxa"/>
        <w:shd w:val="clear" w:color="auto" w:fill="FFCD37" w:themeFill="background2"/>
        <w:tblLook w:val="04A0" w:firstRow="1" w:lastRow="0" w:firstColumn="1" w:lastColumn="0" w:noHBand="0" w:noVBand="1"/>
      </w:tblPr>
      <w:tblGrid>
        <w:gridCol w:w="3963"/>
        <w:gridCol w:w="5104"/>
      </w:tblGrid>
      <w:tr w:rsidR="00770CCA" w:rsidRPr="00DB6BAB" w14:paraId="2CB50269" w14:textId="77777777" w:rsidTr="6CC565ED">
        <w:trPr>
          <w:cnfStyle w:val="100000000000" w:firstRow="1" w:lastRow="0" w:firstColumn="0" w:lastColumn="0" w:oddVBand="0" w:evenVBand="0" w:oddHBand="0" w:evenHBand="0" w:firstRowFirstColumn="0" w:firstRowLastColumn="0" w:lastRowFirstColumn="0" w:lastRowLastColumn="0"/>
        </w:trPr>
        <w:tc>
          <w:tcPr>
            <w:tcW w:w="3963" w:type="dxa"/>
            <w:shd w:val="clear" w:color="auto" w:fill="BEE7FF" w:themeFill="accent1" w:themeFillTint="33"/>
          </w:tcPr>
          <w:p w14:paraId="1D2294E0" w14:textId="77777777" w:rsidR="00770CCA" w:rsidRPr="00DB6BAB" w:rsidRDefault="00770CCA" w:rsidP="002361A3">
            <w:pPr>
              <w:spacing w:before="60" w:after="60" w:afterAutospacing="0"/>
              <w:rPr>
                <w:rFonts w:ascii="Arial" w:hAnsi="Arial" w:cs="Arial"/>
                <w:sz w:val="20"/>
                <w:szCs w:val="20"/>
              </w:rPr>
            </w:pPr>
            <w:r>
              <w:rPr>
                <w:rFonts w:ascii="Arial" w:hAnsi="Arial" w:cs="Arial"/>
                <w:sz w:val="20"/>
                <w:szCs w:val="20"/>
              </w:rPr>
              <w:t>N</w:t>
            </w:r>
            <w:r w:rsidRPr="00DB6BAB">
              <w:rPr>
                <w:rFonts w:ascii="Arial" w:hAnsi="Arial" w:cs="Arial"/>
                <w:sz w:val="20"/>
                <w:szCs w:val="20"/>
              </w:rPr>
              <w:t>ämnd/styrelse</w:t>
            </w:r>
            <w:r>
              <w:rPr>
                <w:rFonts w:ascii="Arial" w:hAnsi="Arial" w:cs="Arial"/>
                <w:sz w:val="20"/>
                <w:szCs w:val="20"/>
              </w:rPr>
              <w:t xml:space="preserve">/råd/myndighet/ </w:t>
            </w:r>
            <w:r w:rsidRPr="00DB6BAB">
              <w:rPr>
                <w:rFonts w:ascii="Arial" w:hAnsi="Arial" w:cs="Arial"/>
                <w:sz w:val="20"/>
                <w:szCs w:val="20"/>
              </w:rPr>
              <w:t>organisation</w:t>
            </w:r>
          </w:p>
        </w:tc>
        <w:tc>
          <w:tcPr>
            <w:tcW w:w="5104" w:type="dxa"/>
            <w:vAlign w:val="center"/>
          </w:tcPr>
          <w:p w14:paraId="52B60A46" w14:textId="3F98A479" w:rsidR="00770CCA" w:rsidRPr="00DB6BAB" w:rsidRDefault="00887BDD" w:rsidP="6CC565ED">
            <w:pPr>
              <w:rPr>
                <w:rFonts w:ascii="Arial" w:hAnsi="Arial" w:cs="Arial"/>
                <w:b w:val="0"/>
                <w:szCs w:val="22"/>
              </w:rPr>
            </w:pPr>
            <w:r>
              <w:rPr>
                <w:rFonts w:ascii="Arial" w:hAnsi="Arial" w:cs="Arial"/>
                <w:b w:val="0"/>
                <w:szCs w:val="22"/>
              </w:rPr>
              <w:t>Göteborgs Spårvägar AB</w:t>
            </w:r>
            <w:r w:rsidR="005D1DE1">
              <w:rPr>
                <w:rFonts w:ascii="Arial" w:hAnsi="Arial" w:cs="Arial"/>
                <w:b w:val="0"/>
                <w:szCs w:val="22"/>
              </w:rPr>
              <w:t xml:space="preserve">, dnr </w:t>
            </w:r>
            <w:r w:rsidR="005D1DE1" w:rsidRPr="005D1DE1">
              <w:rPr>
                <w:rFonts w:ascii="Arial" w:hAnsi="Arial" w:cs="Arial"/>
                <w:b w:val="0"/>
                <w:szCs w:val="22"/>
              </w:rPr>
              <w:t>1040/21</w:t>
            </w:r>
          </w:p>
        </w:tc>
      </w:tr>
    </w:tbl>
    <w:p w14:paraId="2B1B97D1" w14:textId="77777777" w:rsidR="00770CCA" w:rsidRPr="002464C3" w:rsidRDefault="00770CCA" w:rsidP="002464C3"/>
    <w:tbl>
      <w:tblPr>
        <w:tblStyle w:val="Tabellrutnt"/>
        <w:tblW w:w="9067" w:type="dxa"/>
        <w:tblLook w:val="04A0" w:firstRow="1" w:lastRow="0" w:firstColumn="1" w:lastColumn="0" w:noHBand="0" w:noVBand="1"/>
      </w:tblPr>
      <w:tblGrid>
        <w:gridCol w:w="3963"/>
        <w:gridCol w:w="5104"/>
      </w:tblGrid>
      <w:tr w:rsidR="002464C3" w:rsidRPr="00DB6BAB" w14:paraId="5E1396BD" w14:textId="77777777" w:rsidTr="00933F4B">
        <w:trPr>
          <w:cnfStyle w:val="100000000000" w:firstRow="1" w:lastRow="0" w:firstColumn="0" w:lastColumn="0" w:oddVBand="0" w:evenVBand="0" w:oddHBand="0" w:evenHBand="0" w:firstRowFirstColumn="0" w:firstRowLastColumn="0" w:lastRowFirstColumn="0" w:lastRowLastColumn="0"/>
          <w:tblHeader w:val="0"/>
        </w:trPr>
        <w:tc>
          <w:tcPr>
            <w:tcW w:w="9067" w:type="dxa"/>
            <w:gridSpan w:val="2"/>
            <w:shd w:val="clear" w:color="auto" w:fill="D4DDE4" w:themeFill="text2" w:themeFillTint="33"/>
          </w:tcPr>
          <w:p w14:paraId="6DC29D25" w14:textId="77777777" w:rsidR="002464C3" w:rsidRPr="00712713" w:rsidRDefault="002464C3" w:rsidP="002361A3">
            <w:pPr>
              <w:spacing w:before="60" w:after="60" w:afterAutospacing="0"/>
              <w:rPr>
                <w:rFonts w:ascii="Arial" w:hAnsi="Arial" w:cs="Arial"/>
                <w:sz w:val="24"/>
              </w:rPr>
            </w:pPr>
            <w:r>
              <w:rPr>
                <w:rFonts w:ascii="Arial" w:hAnsi="Arial" w:cs="Arial"/>
                <w:sz w:val="24"/>
              </w:rPr>
              <w:t>B</w:t>
            </w:r>
            <w:r w:rsidRPr="00712713">
              <w:rPr>
                <w:rFonts w:ascii="Arial" w:hAnsi="Arial" w:cs="Arial"/>
                <w:sz w:val="24"/>
              </w:rPr>
              <w:t>esvaras av alla remissinstanser</w:t>
            </w:r>
          </w:p>
        </w:tc>
      </w:tr>
      <w:tr w:rsidR="002464C3" w:rsidRPr="00DB6BAB" w14:paraId="034E3A65" w14:textId="77777777" w:rsidTr="00933F4B">
        <w:tc>
          <w:tcPr>
            <w:tcW w:w="3963" w:type="dxa"/>
            <w:shd w:val="clear" w:color="auto" w:fill="BEE7FF" w:themeFill="accent1" w:themeFillTint="33"/>
          </w:tcPr>
          <w:p w14:paraId="308ACC11" w14:textId="3425C7B3" w:rsidR="002464C3" w:rsidRPr="00022D29" w:rsidRDefault="002464C3" w:rsidP="002361A3">
            <w:pPr>
              <w:spacing w:before="60" w:after="60" w:afterAutospacing="0"/>
              <w:rPr>
                <w:rFonts w:ascii="Arial" w:hAnsi="Arial" w:cs="Arial"/>
                <w:b/>
                <w:bCs/>
                <w:sz w:val="20"/>
                <w:szCs w:val="20"/>
              </w:rPr>
            </w:pPr>
            <w:r w:rsidRPr="00022D29">
              <w:rPr>
                <w:rFonts w:ascii="Arial" w:hAnsi="Arial" w:cs="Arial"/>
                <w:b/>
                <w:bCs/>
                <w:sz w:val="20"/>
                <w:szCs w:val="20"/>
              </w:rPr>
              <w:t>Fråg</w:t>
            </w:r>
            <w:r w:rsidR="00770CCA">
              <w:rPr>
                <w:rFonts w:ascii="Arial" w:hAnsi="Arial" w:cs="Arial"/>
                <w:b/>
                <w:bCs/>
                <w:sz w:val="20"/>
                <w:szCs w:val="20"/>
              </w:rPr>
              <w:t>eområde</w:t>
            </w:r>
          </w:p>
        </w:tc>
        <w:tc>
          <w:tcPr>
            <w:tcW w:w="5104" w:type="dxa"/>
            <w:shd w:val="clear" w:color="auto" w:fill="BEE7FF" w:themeFill="accent1" w:themeFillTint="33"/>
          </w:tcPr>
          <w:p w14:paraId="57C3883C" w14:textId="77777777" w:rsidR="002464C3" w:rsidRPr="00022D29" w:rsidRDefault="002464C3" w:rsidP="002361A3">
            <w:pPr>
              <w:spacing w:before="60" w:after="60" w:afterAutospacing="0"/>
              <w:rPr>
                <w:rFonts w:ascii="Arial" w:hAnsi="Arial" w:cs="Arial"/>
                <w:b/>
                <w:bCs/>
                <w:sz w:val="20"/>
                <w:szCs w:val="20"/>
              </w:rPr>
            </w:pPr>
            <w:r w:rsidRPr="00022D29">
              <w:rPr>
                <w:rFonts w:ascii="Arial" w:hAnsi="Arial" w:cs="Arial"/>
                <w:b/>
                <w:bCs/>
                <w:sz w:val="20"/>
                <w:szCs w:val="20"/>
              </w:rPr>
              <w:t>Kommentar/bedömning</w:t>
            </w:r>
          </w:p>
        </w:tc>
      </w:tr>
      <w:tr w:rsidR="002464C3" w:rsidRPr="00DB6BAB" w14:paraId="38E6FA98" w14:textId="77777777" w:rsidTr="00933F4B">
        <w:tc>
          <w:tcPr>
            <w:tcW w:w="3963" w:type="dxa"/>
            <w:shd w:val="clear" w:color="auto" w:fill="auto"/>
            <w:vAlign w:val="center"/>
          </w:tcPr>
          <w:p w14:paraId="3BEE1C9F" w14:textId="1294519F" w:rsidR="002464C3" w:rsidRPr="002464C3" w:rsidRDefault="002464C3" w:rsidP="002464C3">
            <w:pPr>
              <w:spacing w:line="259" w:lineRule="auto"/>
              <w:rPr>
                <w:rFonts w:asciiTheme="majorHAnsi" w:hAnsiTheme="majorHAnsi" w:cstheme="majorHAnsi"/>
                <w:color w:val="000000" w:themeColor="text1"/>
                <w:szCs w:val="22"/>
              </w:rPr>
            </w:pPr>
            <w:r w:rsidRPr="002464C3">
              <w:rPr>
                <w:rFonts w:asciiTheme="majorHAnsi" w:hAnsiTheme="majorHAnsi" w:cstheme="majorHAnsi"/>
                <w:color w:val="000000" w:themeColor="text1"/>
                <w:szCs w:val="22"/>
              </w:rPr>
              <w:t>Övergripande synpunkter på programmets innehåll och struktur</w:t>
            </w:r>
            <w:r w:rsidR="00770CCA">
              <w:rPr>
                <w:rFonts w:asciiTheme="majorHAnsi" w:hAnsiTheme="majorHAnsi" w:cstheme="majorHAnsi"/>
                <w:color w:val="000000" w:themeColor="text1"/>
                <w:szCs w:val="22"/>
              </w:rPr>
              <w:t>.</w:t>
            </w:r>
          </w:p>
          <w:p w14:paraId="6B22EAF0" w14:textId="38CCD362" w:rsidR="002464C3" w:rsidRPr="002464C3" w:rsidRDefault="002464C3" w:rsidP="002361A3">
            <w:pPr>
              <w:spacing w:before="60" w:after="60" w:afterAutospacing="0"/>
              <w:rPr>
                <w:rFonts w:asciiTheme="majorHAnsi" w:hAnsiTheme="majorHAnsi" w:cstheme="majorHAnsi"/>
                <w:sz w:val="20"/>
                <w:szCs w:val="20"/>
              </w:rPr>
            </w:pPr>
          </w:p>
        </w:tc>
        <w:tc>
          <w:tcPr>
            <w:tcW w:w="5104" w:type="dxa"/>
            <w:shd w:val="clear" w:color="auto" w:fill="auto"/>
            <w:vAlign w:val="center"/>
          </w:tcPr>
          <w:p w14:paraId="08EDA164" w14:textId="4918952E" w:rsidR="00910F79" w:rsidRDefault="008457BD" w:rsidP="002361A3">
            <w:pPr>
              <w:spacing w:before="60" w:after="60" w:afterAutospacing="0"/>
              <w:rPr>
                <w:rFonts w:ascii="Arial" w:hAnsi="Arial" w:cs="Arial"/>
                <w:sz w:val="20"/>
                <w:szCs w:val="20"/>
              </w:rPr>
            </w:pPr>
            <w:r>
              <w:rPr>
                <w:rFonts w:ascii="Arial" w:hAnsi="Arial" w:cs="Arial"/>
                <w:sz w:val="20"/>
                <w:szCs w:val="20"/>
              </w:rPr>
              <w:t xml:space="preserve">Det är ett </w:t>
            </w:r>
            <w:r w:rsidR="00C24326">
              <w:rPr>
                <w:rFonts w:ascii="Arial" w:hAnsi="Arial" w:cs="Arial"/>
                <w:sz w:val="20"/>
                <w:szCs w:val="20"/>
              </w:rPr>
              <w:t>informativt</w:t>
            </w:r>
            <w:r>
              <w:rPr>
                <w:rFonts w:ascii="Arial" w:hAnsi="Arial" w:cs="Arial"/>
                <w:sz w:val="20"/>
                <w:szCs w:val="20"/>
              </w:rPr>
              <w:t xml:space="preserve"> program och det är positivt att </w:t>
            </w:r>
            <w:r w:rsidR="009E2E52">
              <w:rPr>
                <w:rFonts w:ascii="Arial" w:hAnsi="Arial" w:cs="Arial"/>
                <w:sz w:val="20"/>
                <w:szCs w:val="20"/>
              </w:rPr>
              <w:t>vikten av</w:t>
            </w:r>
            <w:r w:rsidR="000413AB">
              <w:rPr>
                <w:rFonts w:ascii="Arial" w:hAnsi="Arial" w:cs="Arial"/>
                <w:sz w:val="20"/>
                <w:szCs w:val="20"/>
              </w:rPr>
              <w:t xml:space="preserve"> Hållbar destination</w:t>
            </w:r>
            <w:r w:rsidR="0054350D">
              <w:rPr>
                <w:rFonts w:ascii="Arial" w:hAnsi="Arial" w:cs="Arial"/>
                <w:sz w:val="20"/>
                <w:szCs w:val="20"/>
              </w:rPr>
              <w:t xml:space="preserve"> </w:t>
            </w:r>
            <w:r w:rsidR="009C1818">
              <w:rPr>
                <w:rFonts w:ascii="Arial" w:hAnsi="Arial" w:cs="Arial"/>
                <w:sz w:val="20"/>
                <w:szCs w:val="20"/>
              </w:rPr>
              <w:t>underst</w:t>
            </w:r>
            <w:r w:rsidR="0054350D">
              <w:rPr>
                <w:rFonts w:ascii="Arial" w:hAnsi="Arial" w:cs="Arial"/>
                <w:sz w:val="20"/>
                <w:szCs w:val="20"/>
              </w:rPr>
              <w:t>ryks</w:t>
            </w:r>
            <w:r w:rsidR="000413AB">
              <w:rPr>
                <w:rFonts w:ascii="Arial" w:hAnsi="Arial" w:cs="Arial"/>
                <w:sz w:val="20"/>
                <w:szCs w:val="20"/>
              </w:rPr>
              <w:t xml:space="preserve"> som mål för 2030.</w:t>
            </w:r>
            <w:r w:rsidR="009E2E52">
              <w:rPr>
                <w:rFonts w:ascii="Arial" w:hAnsi="Arial" w:cs="Arial"/>
                <w:sz w:val="20"/>
                <w:szCs w:val="20"/>
              </w:rPr>
              <w:t xml:space="preserve"> </w:t>
            </w:r>
            <w:r w:rsidR="00910F79">
              <w:rPr>
                <w:rFonts w:ascii="Arial" w:hAnsi="Arial" w:cs="Arial"/>
                <w:sz w:val="20"/>
                <w:szCs w:val="20"/>
              </w:rPr>
              <w:t xml:space="preserve">Den nya uppdelningen </w:t>
            </w:r>
            <w:r w:rsidR="00DE0493">
              <w:rPr>
                <w:rFonts w:ascii="Arial" w:hAnsi="Arial" w:cs="Arial"/>
                <w:sz w:val="20"/>
                <w:szCs w:val="20"/>
              </w:rPr>
              <w:t>kring perspektiv</w:t>
            </w:r>
            <w:r w:rsidR="00EC0F9A">
              <w:rPr>
                <w:rFonts w:ascii="Arial" w:hAnsi="Arial" w:cs="Arial"/>
                <w:sz w:val="20"/>
                <w:szCs w:val="20"/>
              </w:rPr>
              <w:t xml:space="preserve">en </w:t>
            </w:r>
            <w:r w:rsidR="00EC0F9A" w:rsidRPr="00EC0F9A">
              <w:rPr>
                <w:rFonts w:ascii="Arial" w:hAnsi="Arial" w:cs="Arial"/>
                <w:i/>
                <w:iCs/>
                <w:sz w:val="20"/>
                <w:szCs w:val="20"/>
              </w:rPr>
              <w:t>Besöka, Leva och Verka</w:t>
            </w:r>
            <w:r w:rsidR="00DE0493">
              <w:rPr>
                <w:rFonts w:ascii="Arial" w:hAnsi="Arial" w:cs="Arial"/>
                <w:sz w:val="20"/>
                <w:szCs w:val="20"/>
              </w:rPr>
              <w:t xml:space="preserve"> är uppdaterad och relevant för framtiden. </w:t>
            </w:r>
          </w:p>
          <w:p w14:paraId="359BE683" w14:textId="0C0F26D6" w:rsidR="00994A9E" w:rsidRPr="00994A9E" w:rsidRDefault="00550FEC" w:rsidP="002361A3">
            <w:pPr>
              <w:spacing w:before="60" w:after="60" w:afterAutospacing="0"/>
              <w:rPr>
                <w:rFonts w:ascii="Arial" w:hAnsi="Arial" w:cs="Arial"/>
                <w:color w:val="FF0000"/>
                <w:sz w:val="20"/>
                <w:szCs w:val="20"/>
              </w:rPr>
            </w:pPr>
            <w:r w:rsidRPr="00FD4E78">
              <w:rPr>
                <w:rFonts w:ascii="Arial" w:hAnsi="Arial" w:cs="Arial"/>
                <w:sz w:val="20"/>
                <w:szCs w:val="20"/>
              </w:rPr>
              <w:t>Det är bra</w:t>
            </w:r>
            <w:r w:rsidR="0054350D">
              <w:rPr>
                <w:rFonts w:ascii="Arial" w:hAnsi="Arial" w:cs="Arial"/>
                <w:sz w:val="20"/>
                <w:szCs w:val="20"/>
              </w:rPr>
              <w:t xml:space="preserve">, och ett måste, </w:t>
            </w:r>
            <w:r w:rsidRPr="00FD4E78">
              <w:rPr>
                <w:rFonts w:ascii="Arial" w:hAnsi="Arial" w:cs="Arial"/>
                <w:sz w:val="20"/>
                <w:szCs w:val="20"/>
              </w:rPr>
              <w:t xml:space="preserve">att </w:t>
            </w:r>
            <w:r w:rsidR="00464598" w:rsidRPr="00FD4E78">
              <w:rPr>
                <w:rFonts w:ascii="Arial" w:hAnsi="Arial" w:cs="Arial"/>
                <w:sz w:val="20"/>
                <w:szCs w:val="20"/>
              </w:rPr>
              <w:t xml:space="preserve">kollektivtrafiken </w:t>
            </w:r>
            <w:r w:rsidR="00667C1B" w:rsidRPr="00FD4E78">
              <w:rPr>
                <w:rFonts w:ascii="Arial" w:hAnsi="Arial" w:cs="Arial"/>
                <w:sz w:val="20"/>
                <w:szCs w:val="20"/>
              </w:rPr>
              <w:t>lyft</w:t>
            </w:r>
            <w:r w:rsidR="00C51AFC" w:rsidRPr="00FD4E78">
              <w:rPr>
                <w:rFonts w:ascii="Arial" w:hAnsi="Arial" w:cs="Arial"/>
                <w:sz w:val="20"/>
                <w:szCs w:val="20"/>
              </w:rPr>
              <w:t>s</w:t>
            </w:r>
            <w:r w:rsidR="00667C1B" w:rsidRPr="00FD4E78">
              <w:rPr>
                <w:rFonts w:ascii="Arial" w:hAnsi="Arial" w:cs="Arial"/>
                <w:sz w:val="20"/>
                <w:szCs w:val="20"/>
              </w:rPr>
              <w:t xml:space="preserve"> som en </w:t>
            </w:r>
            <w:r w:rsidR="0005307D" w:rsidRPr="00FD4E78">
              <w:rPr>
                <w:rFonts w:ascii="Arial" w:hAnsi="Arial" w:cs="Arial"/>
                <w:sz w:val="20"/>
                <w:szCs w:val="20"/>
              </w:rPr>
              <w:t>de</w:t>
            </w:r>
            <w:r w:rsidR="00993343" w:rsidRPr="00FD4E78">
              <w:rPr>
                <w:rFonts w:ascii="Arial" w:hAnsi="Arial" w:cs="Arial"/>
                <w:sz w:val="20"/>
                <w:szCs w:val="20"/>
              </w:rPr>
              <w:t>l av besöksnäringens ekosystem som måste fungera.</w:t>
            </w:r>
          </w:p>
        </w:tc>
      </w:tr>
      <w:tr w:rsidR="002464C3" w:rsidRPr="00DB6BAB" w14:paraId="52B2529A" w14:textId="77777777" w:rsidTr="008F5807">
        <w:trPr>
          <w:trHeight w:val="1477"/>
        </w:trPr>
        <w:tc>
          <w:tcPr>
            <w:tcW w:w="3963" w:type="dxa"/>
            <w:shd w:val="clear" w:color="auto" w:fill="auto"/>
            <w:vAlign w:val="center"/>
          </w:tcPr>
          <w:p w14:paraId="10286C3E" w14:textId="342F26E7" w:rsidR="002464C3" w:rsidRPr="008F5807" w:rsidRDefault="00770CCA" w:rsidP="008F5807">
            <w:pPr>
              <w:spacing w:line="259" w:lineRule="auto"/>
              <w:rPr>
                <w:rFonts w:asciiTheme="majorHAnsi" w:hAnsiTheme="majorHAnsi" w:cstheme="majorHAnsi"/>
                <w:color w:val="000000" w:themeColor="text1"/>
                <w:szCs w:val="22"/>
              </w:rPr>
            </w:pPr>
            <w:r>
              <w:rPr>
                <w:rFonts w:asciiTheme="majorHAnsi" w:hAnsiTheme="majorHAnsi" w:cstheme="majorHAnsi"/>
                <w:color w:val="000000" w:themeColor="text1"/>
                <w:szCs w:val="22"/>
              </w:rPr>
              <w:t>Eventuella</w:t>
            </w:r>
            <w:r w:rsidR="002464C3" w:rsidRPr="002464C3">
              <w:rPr>
                <w:rFonts w:asciiTheme="majorHAnsi" w:hAnsiTheme="majorHAnsi" w:cstheme="majorHAnsi"/>
                <w:color w:val="000000" w:themeColor="text1"/>
                <w:szCs w:val="22"/>
              </w:rPr>
              <w:t xml:space="preserve"> förändringar eller tillägg av förslaget som anses nödvändiga ur verksamhetens/organisationens perspektiv</w:t>
            </w:r>
            <w:r w:rsidR="008F5807">
              <w:rPr>
                <w:rFonts w:asciiTheme="majorHAnsi" w:hAnsiTheme="majorHAnsi" w:cstheme="majorHAnsi"/>
                <w:color w:val="000000" w:themeColor="text1"/>
                <w:szCs w:val="22"/>
              </w:rPr>
              <w:t>.</w:t>
            </w:r>
          </w:p>
        </w:tc>
        <w:tc>
          <w:tcPr>
            <w:tcW w:w="5104" w:type="dxa"/>
            <w:shd w:val="clear" w:color="auto" w:fill="auto"/>
            <w:vAlign w:val="center"/>
          </w:tcPr>
          <w:p w14:paraId="79CD43E3" w14:textId="78C6679D" w:rsidR="002464C3" w:rsidRPr="00543DE0" w:rsidRDefault="009F65FF" w:rsidP="00C75762">
            <w:pPr>
              <w:spacing w:before="60" w:after="60"/>
              <w:rPr>
                <w:rFonts w:ascii="Arial" w:hAnsi="Arial" w:cs="Arial"/>
                <w:sz w:val="20"/>
                <w:szCs w:val="20"/>
              </w:rPr>
            </w:pPr>
            <w:r w:rsidRPr="00543DE0">
              <w:rPr>
                <w:rFonts w:ascii="Arial" w:hAnsi="Arial" w:cs="Arial"/>
                <w:sz w:val="20"/>
                <w:szCs w:val="20"/>
              </w:rPr>
              <w:t>Det nämns att kollektivtrafiken inom destinationen är en nyckelfråga för ett jämlikt utbud och likvärdig tillgänglighet. Det bör också tas upp att den regionala kollektivtrafiken kan bidra kring de regionala besökarnas möjlighet att besöka Göteborgsområdet.</w:t>
            </w:r>
            <w:r w:rsidR="00953934">
              <w:rPr>
                <w:rFonts w:ascii="Arial" w:hAnsi="Arial" w:cs="Arial"/>
                <w:sz w:val="20"/>
                <w:szCs w:val="20"/>
              </w:rPr>
              <w:t xml:space="preserve"> För att uppnå </w:t>
            </w:r>
            <w:r w:rsidR="00D42008">
              <w:rPr>
                <w:rFonts w:ascii="Arial" w:hAnsi="Arial" w:cs="Arial"/>
                <w:sz w:val="20"/>
                <w:szCs w:val="20"/>
              </w:rPr>
              <w:t xml:space="preserve">en kraftfullare utveckling </w:t>
            </w:r>
            <w:r w:rsidR="00953934">
              <w:rPr>
                <w:rFonts w:ascii="Arial" w:hAnsi="Arial" w:cs="Arial"/>
                <w:sz w:val="20"/>
                <w:szCs w:val="20"/>
              </w:rPr>
              <w:t xml:space="preserve">kräver kollektivtrafiken fler </w:t>
            </w:r>
            <w:r w:rsidR="00D42008">
              <w:rPr>
                <w:rFonts w:ascii="Arial" w:hAnsi="Arial" w:cs="Arial"/>
                <w:sz w:val="20"/>
                <w:szCs w:val="20"/>
              </w:rPr>
              <w:t>framtida resurser.</w:t>
            </w:r>
            <w:r w:rsidRPr="00543DE0">
              <w:rPr>
                <w:rFonts w:ascii="Arial" w:hAnsi="Arial" w:cs="Arial"/>
                <w:sz w:val="20"/>
                <w:szCs w:val="20"/>
              </w:rPr>
              <w:t xml:space="preserve"> </w:t>
            </w:r>
          </w:p>
        </w:tc>
      </w:tr>
      <w:tr w:rsidR="002464C3" w:rsidRPr="00DB6BAB" w14:paraId="2AB28930" w14:textId="77777777" w:rsidTr="00933F4B">
        <w:tc>
          <w:tcPr>
            <w:tcW w:w="3963" w:type="dxa"/>
            <w:shd w:val="clear" w:color="auto" w:fill="auto"/>
            <w:vAlign w:val="center"/>
          </w:tcPr>
          <w:p w14:paraId="2C6824B8" w14:textId="05155810" w:rsidR="002464C3" w:rsidRPr="002464C3" w:rsidRDefault="002464C3" w:rsidP="002464C3">
            <w:pPr>
              <w:spacing w:line="259" w:lineRule="auto"/>
              <w:rPr>
                <w:rFonts w:asciiTheme="majorHAnsi" w:hAnsiTheme="majorHAnsi" w:cstheme="majorHAnsi"/>
                <w:color w:val="000000" w:themeColor="text1"/>
                <w:szCs w:val="22"/>
              </w:rPr>
            </w:pPr>
            <w:r w:rsidRPr="002464C3">
              <w:rPr>
                <w:rFonts w:asciiTheme="majorHAnsi" w:hAnsiTheme="majorHAnsi" w:cstheme="majorHAnsi"/>
                <w:color w:val="000000" w:themeColor="text1"/>
                <w:szCs w:val="22"/>
              </w:rPr>
              <w:t>Eventuella målkonflikter</w:t>
            </w:r>
            <w:r w:rsidR="00770CCA">
              <w:rPr>
                <w:rFonts w:asciiTheme="majorHAnsi" w:hAnsiTheme="majorHAnsi" w:cstheme="majorHAnsi"/>
                <w:color w:val="000000" w:themeColor="text1"/>
                <w:szCs w:val="22"/>
              </w:rPr>
              <w:t>.</w:t>
            </w:r>
          </w:p>
          <w:p w14:paraId="1E17B098" w14:textId="5D51F671" w:rsidR="002464C3" w:rsidRPr="002464C3" w:rsidRDefault="002464C3" w:rsidP="002361A3">
            <w:pPr>
              <w:spacing w:before="60" w:after="60" w:afterAutospacing="0"/>
              <w:rPr>
                <w:rFonts w:asciiTheme="majorHAnsi" w:hAnsiTheme="majorHAnsi" w:cstheme="majorHAnsi"/>
                <w:sz w:val="20"/>
                <w:szCs w:val="20"/>
              </w:rPr>
            </w:pPr>
          </w:p>
        </w:tc>
        <w:tc>
          <w:tcPr>
            <w:tcW w:w="5104" w:type="dxa"/>
            <w:shd w:val="clear" w:color="auto" w:fill="auto"/>
            <w:vAlign w:val="center"/>
          </w:tcPr>
          <w:p w14:paraId="0DDE781C" w14:textId="0BDD5121" w:rsidR="002464C3" w:rsidRPr="00A67D25" w:rsidRDefault="00763EA3" w:rsidP="002361A3">
            <w:pPr>
              <w:spacing w:before="60" w:after="60" w:afterAutospacing="0"/>
              <w:rPr>
                <w:rFonts w:ascii="Arial" w:hAnsi="Arial" w:cs="Arial"/>
                <w:sz w:val="20"/>
                <w:szCs w:val="20"/>
              </w:rPr>
            </w:pPr>
            <w:r w:rsidRPr="00F33735">
              <w:rPr>
                <w:rFonts w:ascii="Arial" w:hAnsi="Arial" w:cs="Arial"/>
                <w:sz w:val="20"/>
                <w:szCs w:val="20"/>
              </w:rPr>
              <w:t xml:space="preserve">Under </w:t>
            </w:r>
            <w:r w:rsidR="00DA3FC6" w:rsidRPr="00F33735">
              <w:rPr>
                <w:rFonts w:ascii="Arial" w:hAnsi="Arial" w:cs="Arial"/>
                <w:i/>
                <w:iCs/>
                <w:sz w:val="20"/>
                <w:szCs w:val="20"/>
              </w:rPr>
              <w:t>Strategi 2: Stimulera utvecklingen av destinationens infrastruktur</w:t>
            </w:r>
            <w:r w:rsidR="00DA3FC6" w:rsidRPr="00F33735">
              <w:rPr>
                <w:rFonts w:ascii="Arial" w:hAnsi="Arial" w:cs="Arial"/>
                <w:sz w:val="20"/>
                <w:szCs w:val="20"/>
              </w:rPr>
              <w:t xml:space="preserve"> </w:t>
            </w:r>
            <w:r w:rsidR="004F4E90" w:rsidRPr="00F33735">
              <w:rPr>
                <w:rFonts w:ascii="Arial" w:hAnsi="Arial" w:cs="Arial"/>
                <w:sz w:val="20"/>
                <w:szCs w:val="20"/>
              </w:rPr>
              <w:t xml:space="preserve">står det att </w:t>
            </w:r>
            <w:r w:rsidR="00DA3FC6" w:rsidRPr="00F33735">
              <w:rPr>
                <w:rFonts w:ascii="Arial" w:hAnsi="Arial" w:cs="Arial"/>
                <w:sz w:val="20"/>
                <w:szCs w:val="20"/>
              </w:rPr>
              <w:t xml:space="preserve">Göteborgs Stad </w:t>
            </w:r>
            <w:r w:rsidR="004F4E90" w:rsidRPr="00F33735">
              <w:rPr>
                <w:rFonts w:ascii="Arial" w:hAnsi="Arial" w:cs="Arial"/>
                <w:sz w:val="20"/>
                <w:szCs w:val="20"/>
              </w:rPr>
              <w:t xml:space="preserve">ska </w:t>
            </w:r>
            <w:r w:rsidR="00D1553F" w:rsidRPr="00F33735">
              <w:rPr>
                <w:rFonts w:ascii="Arial" w:hAnsi="Arial" w:cs="Arial"/>
                <w:sz w:val="20"/>
                <w:szCs w:val="20"/>
              </w:rPr>
              <w:t>s</w:t>
            </w:r>
            <w:r w:rsidR="005B7B0E" w:rsidRPr="00F33735">
              <w:rPr>
                <w:rFonts w:ascii="Arial" w:hAnsi="Arial" w:cs="Arial"/>
                <w:sz w:val="20"/>
                <w:szCs w:val="20"/>
              </w:rPr>
              <w:t>timulera och främja utvecklingen</w:t>
            </w:r>
            <w:r w:rsidR="000354CD" w:rsidRPr="00F33735">
              <w:t xml:space="preserve"> </w:t>
            </w:r>
            <w:r w:rsidR="000354CD" w:rsidRPr="00F33735">
              <w:rPr>
                <w:rFonts w:ascii="Arial" w:hAnsi="Arial" w:cs="Arial"/>
                <w:sz w:val="20"/>
                <w:szCs w:val="20"/>
              </w:rPr>
              <w:t xml:space="preserve">av hållbar infrastruktur och omställningen till hållbart resande. </w:t>
            </w:r>
            <w:r w:rsidR="00BD119F">
              <w:rPr>
                <w:rFonts w:ascii="Arial" w:hAnsi="Arial" w:cs="Arial"/>
                <w:sz w:val="20"/>
                <w:szCs w:val="20"/>
              </w:rPr>
              <w:t xml:space="preserve">I en kommande punkt står </w:t>
            </w:r>
            <w:r w:rsidR="004F0A67">
              <w:rPr>
                <w:rFonts w:ascii="Arial" w:hAnsi="Arial" w:cs="Arial"/>
                <w:sz w:val="20"/>
                <w:szCs w:val="20"/>
              </w:rPr>
              <w:t xml:space="preserve">att man ska </w:t>
            </w:r>
            <w:r w:rsidR="0011058C" w:rsidRPr="00F33735">
              <w:rPr>
                <w:rFonts w:ascii="Arial" w:hAnsi="Arial" w:cs="Arial"/>
                <w:sz w:val="20"/>
                <w:szCs w:val="20"/>
              </w:rPr>
              <w:t xml:space="preserve">agera på regional och nationell nivå för att förbättra destinationens tillgänglighet främst via järnväg, men också via väg, vatten och flyg samt kollektivtrafik. </w:t>
            </w:r>
            <w:r w:rsidR="001221CC">
              <w:rPr>
                <w:rFonts w:ascii="Arial" w:hAnsi="Arial" w:cs="Arial"/>
                <w:sz w:val="20"/>
                <w:szCs w:val="20"/>
              </w:rPr>
              <w:t>För att lyckas vara en hållbar destination i framtiden krävs satsningar på järnväg, kolle</w:t>
            </w:r>
            <w:r w:rsidR="00662DC8">
              <w:rPr>
                <w:rFonts w:ascii="Arial" w:hAnsi="Arial" w:cs="Arial"/>
                <w:sz w:val="20"/>
                <w:szCs w:val="20"/>
              </w:rPr>
              <w:t>k</w:t>
            </w:r>
            <w:r w:rsidR="001221CC">
              <w:rPr>
                <w:rFonts w:ascii="Arial" w:hAnsi="Arial" w:cs="Arial"/>
                <w:sz w:val="20"/>
                <w:szCs w:val="20"/>
              </w:rPr>
              <w:t>tivtrafik</w:t>
            </w:r>
            <w:r w:rsidR="00662DC8">
              <w:rPr>
                <w:rFonts w:ascii="Arial" w:hAnsi="Arial" w:cs="Arial"/>
                <w:sz w:val="20"/>
                <w:szCs w:val="20"/>
              </w:rPr>
              <w:t>, gång och cykel</w:t>
            </w:r>
            <w:r w:rsidR="003250FE">
              <w:rPr>
                <w:rFonts w:ascii="Arial" w:hAnsi="Arial" w:cs="Arial"/>
                <w:sz w:val="20"/>
                <w:szCs w:val="20"/>
              </w:rPr>
              <w:t xml:space="preserve"> </w:t>
            </w:r>
            <w:r w:rsidR="00931FFC">
              <w:rPr>
                <w:rFonts w:ascii="Arial" w:hAnsi="Arial" w:cs="Arial"/>
                <w:sz w:val="20"/>
                <w:szCs w:val="20"/>
              </w:rPr>
              <w:t xml:space="preserve">samt </w:t>
            </w:r>
            <w:r w:rsidR="00B40870">
              <w:rPr>
                <w:rFonts w:ascii="Arial" w:hAnsi="Arial" w:cs="Arial"/>
                <w:sz w:val="20"/>
                <w:szCs w:val="20"/>
              </w:rPr>
              <w:t xml:space="preserve">att </w:t>
            </w:r>
            <w:r w:rsidR="00931FFC">
              <w:rPr>
                <w:rFonts w:ascii="Arial" w:hAnsi="Arial" w:cs="Arial"/>
                <w:sz w:val="20"/>
                <w:szCs w:val="20"/>
              </w:rPr>
              <w:t>utelämna flyget</w:t>
            </w:r>
            <w:r w:rsidR="00662DC8">
              <w:rPr>
                <w:rFonts w:ascii="Arial" w:hAnsi="Arial" w:cs="Arial"/>
                <w:sz w:val="20"/>
                <w:szCs w:val="20"/>
              </w:rPr>
              <w:t xml:space="preserve">. </w:t>
            </w:r>
          </w:p>
        </w:tc>
      </w:tr>
      <w:tr w:rsidR="002464C3" w:rsidRPr="00DB6BAB" w14:paraId="718D9F11" w14:textId="77777777" w:rsidTr="00933F4B">
        <w:tc>
          <w:tcPr>
            <w:tcW w:w="3963" w:type="dxa"/>
            <w:shd w:val="clear" w:color="auto" w:fill="auto"/>
            <w:vAlign w:val="center"/>
          </w:tcPr>
          <w:p w14:paraId="1E45C710" w14:textId="45EB6304" w:rsidR="002464C3" w:rsidRPr="00B97A10" w:rsidRDefault="002464C3" w:rsidP="00B97A10">
            <w:pPr>
              <w:spacing w:line="259" w:lineRule="auto"/>
              <w:rPr>
                <w:rFonts w:asciiTheme="majorHAnsi" w:hAnsiTheme="majorHAnsi" w:cstheme="majorHAnsi"/>
                <w:color w:val="000000" w:themeColor="text1"/>
                <w:szCs w:val="22"/>
              </w:rPr>
            </w:pPr>
            <w:r w:rsidRPr="002464C3">
              <w:rPr>
                <w:rFonts w:asciiTheme="majorHAnsi" w:eastAsia="Times New Roman" w:hAnsiTheme="majorHAnsi" w:cstheme="majorHAnsi"/>
                <w:szCs w:val="22"/>
              </w:rPr>
              <w:t>Om målen tydliggör riktningen för stadens gemensamma insatser</w:t>
            </w:r>
            <w:r w:rsidR="00B97A10">
              <w:rPr>
                <w:rFonts w:asciiTheme="majorHAnsi" w:eastAsia="Times New Roman" w:hAnsiTheme="majorHAnsi" w:cstheme="majorHAnsi"/>
                <w:szCs w:val="22"/>
              </w:rPr>
              <w:t>.</w:t>
            </w:r>
          </w:p>
        </w:tc>
        <w:tc>
          <w:tcPr>
            <w:tcW w:w="5104" w:type="dxa"/>
            <w:shd w:val="clear" w:color="auto" w:fill="auto"/>
            <w:vAlign w:val="center"/>
          </w:tcPr>
          <w:p w14:paraId="75F2755E" w14:textId="6FCF9010" w:rsidR="002464C3" w:rsidRPr="00DB6BAB" w:rsidRDefault="002464C3" w:rsidP="002361A3">
            <w:pPr>
              <w:spacing w:before="60" w:after="60" w:afterAutospacing="0"/>
              <w:rPr>
                <w:rFonts w:ascii="Arial" w:hAnsi="Arial" w:cs="Arial"/>
                <w:sz w:val="20"/>
                <w:szCs w:val="20"/>
              </w:rPr>
            </w:pPr>
          </w:p>
        </w:tc>
      </w:tr>
      <w:tr w:rsidR="002464C3" w:rsidRPr="00DB6BAB" w14:paraId="0AC8BCB2" w14:textId="77777777" w:rsidTr="00933F4B">
        <w:tc>
          <w:tcPr>
            <w:tcW w:w="3963" w:type="dxa"/>
            <w:shd w:val="clear" w:color="auto" w:fill="auto"/>
            <w:vAlign w:val="center"/>
          </w:tcPr>
          <w:p w14:paraId="72AB29FE" w14:textId="2BC37E48" w:rsidR="002464C3" w:rsidRPr="00F93184" w:rsidRDefault="002464C3" w:rsidP="00F93184">
            <w:pPr>
              <w:rPr>
                <w:rFonts w:asciiTheme="majorHAnsi" w:hAnsiTheme="majorHAnsi" w:cstheme="majorHAnsi"/>
                <w:color w:val="000000" w:themeColor="text1"/>
                <w:szCs w:val="22"/>
              </w:rPr>
            </w:pPr>
            <w:r w:rsidRPr="002464C3">
              <w:rPr>
                <w:rFonts w:asciiTheme="majorHAnsi" w:eastAsia="Times New Roman" w:hAnsiTheme="majorHAnsi" w:cstheme="majorHAnsi"/>
                <w:szCs w:val="22"/>
              </w:rPr>
              <w:t>Om strategierna bedöms leda till måluppfyllelse</w:t>
            </w:r>
            <w:r w:rsidR="00770CCA">
              <w:rPr>
                <w:rFonts w:asciiTheme="majorHAnsi" w:eastAsia="Times New Roman" w:hAnsiTheme="majorHAnsi" w:cstheme="majorHAnsi"/>
                <w:szCs w:val="22"/>
              </w:rPr>
              <w:t>.</w:t>
            </w:r>
          </w:p>
        </w:tc>
        <w:tc>
          <w:tcPr>
            <w:tcW w:w="5104" w:type="dxa"/>
            <w:shd w:val="clear" w:color="auto" w:fill="auto"/>
            <w:vAlign w:val="center"/>
          </w:tcPr>
          <w:p w14:paraId="5A035BD2" w14:textId="77777777" w:rsidR="00F94DD0" w:rsidRPr="00F93184" w:rsidRDefault="008D04C4" w:rsidP="00F94DD0">
            <w:pPr>
              <w:spacing w:before="60" w:after="60"/>
              <w:rPr>
                <w:rFonts w:ascii="Arial" w:hAnsi="Arial" w:cs="Arial"/>
                <w:sz w:val="20"/>
                <w:szCs w:val="20"/>
              </w:rPr>
            </w:pPr>
            <w:r w:rsidRPr="00F93184">
              <w:rPr>
                <w:rFonts w:ascii="Arial" w:hAnsi="Arial" w:cs="Arial"/>
                <w:sz w:val="20"/>
                <w:szCs w:val="20"/>
              </w:rPr>
              <w:t xml:space="preserve">Resan till </w:t>
            </w:r>
            <w:r w:rsidR="0066070F" w:rsidRPr="00F93184">
              <w:rPr>
                <w:rFonts w:ascii="Arial" w:hAnsi="Arial" w:cs="Arial"/>
                <w:sz w:val="20"/>
                <w:szCs w:val="20"/>
              </w:rPr>
              <w:t xml:space="preserve">och från destinationen </w:t>
            </w:r>
            <w:r w:rsidRPr="00F93184">
              <w:rPr>
                <w:rFonts w:ascii="Arial" w:hAnsi="Arial" w:cs="Arial"/>
                <w:sz w:val="20"/>
                <w:szCs w:val="20"/>
              </w:rPr>
              <w:t xml:space="preserve">tas upp som avgörande för </w:t>
            </w:r>
            <w:r w:rsidR="00304834" w:rsidRPr="00F93184">
              <w:rPr>
                <w:rFonts w:ascii="Arial" w:hAnsi="Arial" w:cs="Arial"/>
                <w:sz w:val="20"/>
                <w:szCs w:val="20"/>
              </w:rPr>
              <w:t xml:space="preserve">besökets totala </w:t>
            </w:r>
            <w:r w:rsidR="00E405EB" w:rsidRPr="00F93184">
              <w:rPr>
                <w:rFonts w:ascii="Arial" w:hAnsi="Arial" w:cs="Arial"/>
                <w:sz w:val="20"/>
                <w:szCs w:val="20"/>
              </w:rPr>
              <w:t>klimatavtryck</w:t>
            </w:r>
            <w:r w:rsidR="00C122E0" w:rsidRPr="00F93184">
              <w:rPr>
                <w:rFonts w:ascii="Arial" w:hAnsi="Arial" w:cs="Arial"/>
                <w:sz w:val="20"/>
                <w:szCs w:val="20"/>
              </w:rPr>
              <w:t>. H</w:t>
            </w:r>
            <w:r w:rsidR="00304834" w:rsidRPr="00F93184">
              <w:rPr>
                <w:rFonts w:ascii="Arial" w:hAnsi="Arial" w:cs="Arial"/>
                <w:sz w:val="20"/>
                <w:szCs w:val="20"/>
              </w:rPr>
              <w:t xml:space="preserve">ur </w:t>
            </w:r>
            <w:r w:rsidR="00E405EB" w:rsidRPr="00F93184">
              <w:rPr>
                <w:rFonts w:ascii="Arial" w:hAnsi="Arial" w:cs="Arial"/>
                <w:sz w:val="20"/>
                <w:szCs w:val="20"/>
              </w:rPr>
              <w:t xml:space="preserve">Göteborgsområdet som destination kan bidra till </w:t>
            </w:r>
            <w:r w:rsidR="00304834" w:rsidRPr="00F93184">
              <w:rPr>
                <w:rFonts w:ascii="Arial" w:hAnsi="Arial" w:cs="Arial"/>
                <w:sz w:val="20"/>
                <w:szCs w:val="20"/>
              </w:rPr>
              <w:t xml:space="preserve">att minska detta hade kunnat tas upp </w:t>
            </w:r>
            <w:r w:rsidR="006A40C3" w:rsidRPr="00F93184">
              <w:rPr>
                <w:rFonts w:ascii="Arial" w:hAnsi="Arial" w:cs="Arial"/>
                <w:sz w:val="20"/>
                <w:szCs w:val="20"/>
              </w:rPr>
              <w:t xml:space="preserve">ännu </w:t>
            </w:r>
            <w:r w:rsidR="00304834" w:rsidRPr="00F93184">
              <w:rPr>
                <w:rFonts w:ascii="Arial" w:hAnsi="Arial" w:cs="Arial"/>
                <w:sz w:val="20"/>
                <w:szCs w:val="20"/>
              </w:rPr>
              <w:t>tydligare</w:t>
            </w:r>
            <w:r w:rsidR="004A7A9A" w:rsidRPr="00F93184">
              <w:rPr>
                <w:rFonts w:ascii="Arial" w:hAnsi="Arial" w:cs="Arial"/>
                <w:sz w:val="20"/>
                <w:szCs w:val="20"/>
              </w:rPr>
              <w:t xml:space="preserve"> och mer konkret</w:t>
            </w:r>
            <w:r w:rsidR="00FC2152" w:rsidRPr="00F93184">
              <w:rPr>
                <w:rFonts w:ascii="Arial" w:hAnsi="Arial" w:cs="Arial"/>
                <w:sz w:val="20"/>
                <w:szCs w:val="20"/>
              </w:rPr>
              <w:t xml:space="preserve"> med förslag</w:t>
            </w:r>
            <w:r w:rsidR="00F2573C" w:rsidRPr="00F93184">
              <w:rPr>
                <w:rFonts w:ascii="Arial" w:hAnsi="Arial" w:cs="Arial"/>
                <w:sz w:val="20"/>
                <w:szCs w:val="20"/>
              </w:rPr>
              <w:t xml:space="preserve">. </w:t>
            </w:r>
            <w:r w:rsidR="00DB6675" w:rsidRPr="00F93184">
              <w:rPr>
                <w:rFonts w:ascii="Arial" w:hAnsi="Arial" w:cs="Arial"/>
                <w:sz w:val="20"/>
                <w:szCs w:val="20"/>
              </w:rPr>
              <w:t>Paketeringen för alla målgrupper, även närliggande kommuner är av intresse.</w:t>
            </w:r>
            <w:r w:rsidR="00163BBB" w:rsidRPr="00F93184">
              <w:rPr>
                <w:rFonts w:ascii="Arial" w:hAnsi="Arial" w:cs="Arial"/>
                <w:sz w:val="20"/>
                <w:szCs w:val="20"/>
              </w:rPr>
              <w:t xml:space="preserve"> </w:t>
            </w:r>
          </w:p>
          <w:p w14:paraId="2B76E1FF" w14:textId="6467D4EB" w:rsidR="001E28EB" w:rsidRPr="00F93184" w:rsidRDefault="001E28EB" w:rsidP="00F94DD0">
            <w:pPr>
              <w:spacing w:before="60" w:after="60"/>
              <w:rPr>
                <w:rFonts w:ascii="Arial" w:hAnsi="Arial" w:cs="Arial"/>
                <w:sz w:val="20"/>
                <w:szCs w:val="20"/>
              </w:rPr>
            </w:pPr>
            <w:r w:rsidRPr="00F93184">
              <w:rPr>
                <w:rFonts w:ascii="Arial" w:hAnsi="Arial" w:cs="Arial"/>
                <w:sz w:val="20"/>
                <w:szCs w:val="20"/>
              </w:rPr>
              <w:t xml:space="preserve">Indikatorn </w:t>
            </w:r>
            <w:r w:rsidR="00553C87" w:rsidRPr="00F93184">
              <w:rPr>
                <w:rFonts w:ascii="Arial" w:hAnsi="Arial" w:cs="Arial"/>
                <w:i/>
                <w:iCs/>
                <w:sz w:val="20"/>
                <w:szCs w:val="20"/>
              </w:rPr>
              <w:t>Andel besökare som upplever Göteborgsregionen som en hållbar destination</w:t>
            </w:r>
            <w:r w:rsidR="00553C87" w:rsidRPr="00F93184">
              <w:rPr>
                <w:rFonts w:ascii="Arial" w:hAnsi="Arial" w:cs="Arial"/>
                <w:sz w:val="20"/>
                <w:szCs w:val="20"/>
              </w:rPr>
              <w:t xml:space="preserve"> </w:t>
            </w:r>
            <w:r w:rsidR="00AE60BA" w:rsidRPr="00F93184">
              <w:rPr>
                <w:rFonts w:ascii="Arial" w:hAnsi="Arial" w:cs="Arial"/>
                <w:sz w:val="20"/>
                <w:szCs w:val="20"/>
              </w:rPr>
              <w:t xml:space="preserve">anger </w:t>
            </w:r>
            <w:r w:rsidR="00B31C6C" w:rsidRPr="00F93184">
              <w:rPr>
                <w:rFonts w:ascii="Arial" w:hAnsi="Arial" w:cs="Arial"/>
                <w:sz w:val="20"/>
                <w:szCs w:val="20"/>
              </w:rPr>
              <w:lastRenderedPageBreak/>
              <w:t xml:space="preserve">den upplevda </w:t>
            </w:r>
            <w:r w:rsidR="00553C87" w:rsidRPr="00F93184">
              <w:rPr>
                <w:rFonts w:ascii="Arial" w:hAnsi="Arial" w:cs="Arial"/>
                <w:sz w:val="20"/>
                <w:szCs w:val="20"/>
              </w:rPr>
              <w:t>hållbarhet</w:t>
            </w:r>
            <w:r w:rsidR="00B31C6C" w:rsidRPr="00F93184">
              <w:rPr>
                <w:rFonts w:ascii="Arial" w:hAnsi="Arial" w:cs="Arial"/>
                <w:sz w:val="20"/>
                <w:szCs w:val="20"/>
              </w:rPr>
              <w:t xml:space="preserve">en. Går det att komplettera detta med ett mått som ger ett mer </w:t>
            </w:r>
            <w:r w:rsidR="00CD33EF" w:rsidRPr="00F93184">
              <w:rPr>
                <w:rFonts w:ascii="Arial" w:hAnsi="Arial" w:cs="Arial"/>
                <w:sz w:val="20"/>
                <w:szCs w:val="20"/>
              </w:rPr>
              <w:t xml:space="preserve">faktiskt </w:t>
            </w:r>
            <w:r w:rsidR="00E56CEC" w:rsidRPr="00F93184">
              <w:rPr>
                <w:rFonts w:ascii="Arial" w:hAnsi="Arial" w:cs="Arial"/>
                <w:sz w:val="20"/>
                <w:szCs w:val="20"/>
              </w:rPr>
              <w:t>mätvärde?</w:t>
            </w:r>
          </w:p>
        </w:tc>
      </w:tr>
    </w:tbl>
    <w:p w14:paraId="28700D80" w14:textId="77777777" w:rsidR="002464C3" w:rsidRDefault="002464C3" w:rsidP="000046E1"/>
    <w:tbl>
      <w:tblPr>
        <w:tblStyle w:val="Tabellrutnt"/>
        <w:tblW w:w="9067" w:type="dxa"/>
        <w:tblLook w:val="04A0" w:firstRow="1" w:lastRow="0" w:firstColumn="1" w:lastColumn="0" w:noHBand="0" w:noVBand="1"/>
      </w:tblPr>
      <w:tblGrid>
        <w:gridCol w:w="3963"/>
        <w:gridCol w:w="5104"/>
      </w:tblGrid>
      <w:tr w:rsidR="002464C3" w:rsidRPr="00DB6BAB" w14:paraId="2DB6CBC0" w14:textId="77777777" w:rsidTr="00770CCA">
        <w:trPr>
          <w:cnfStyle w:val="100000000000" w:firstRow="1" w:lastRow="0" w:firstColumn="0" w:lastColumn="0" w:oddVBand="0" w:evenVBand="0" w:oddHBand="0" w:evenHBand="0" w:firstRowFirstColumn="0" w:firstRowLastColumn="0" w:lastRowFirstColumn="0" w:lastRowLastColumn="0"/>
          <w:tblHeader w:val="0"/>
        </w:trPr>
        <w:tc>
          <w:tcPr>
            <w:tcW w:w="9067" w:type="dxa"/>
            <w:gridSpan w:val="2"/>
            <w:shd w:val="clear" w:color="auto" w:fill="D4DDE4" w:themeFill="text2" w:themeFillTint="33"/>
          </w:tcPr>
          <w:p w14:paraId="2ECA9B5B" w14:textId="5B134C74" w:rsidR="002464C3" w:rsidRPr="00712713" w:rsidRDefault="002464C3" w:rsidP="002361A3">
            <w:pPr>
              <w:spacing w:before="60" w:after="60" w:afterAutospacing="0"/>
              <w:rPr>
                <w:rFonts w:ascii="Arial" w:hAnsi="Arial" w:cs="Arial"/>
                <w:sz w:val="24"/>
              </w:rPr>
            </w:pPr>
            <w:r>
              <w:rPr>
                <w:rFonts w:ascii="Arial" w:hAnsi="Arial" w:cs="Arial"/>
                <w:sz w:val="24"/>
              </w:rPr>
              <w:t xml:space="preserve">Besvaras av nämnder/styrelser </w:t>
            </w:r>
            <w:r w:rsidR="00770CCA">
              <w:rPr>
                <w:rFonts w:ascii="Arial" w:hAnsi="Arial" w:cs="Arial"/>
                <w:sz w:val="24"/>
              </w:rPr>
              <w:t xml:space="preserve">som i programmet </w:t>
            </w:r>
            <w:r w:rsidR="00011AD6">
              <w:rPr>
                <w:rFonts w:ascii="Arial" w:hAnsi="Arial" w:cs="Arial"/>
                <w:sz w:val="24"/>
              </w:rPr>
              <w:t>omnämns som ”</w:t>
            </w:r>
            <w:r w:rsidR="00770CCA">
              <w:rPr>
                <w:rFonts w:ascii="Arial" w:hAnsi="Arial" w:cs="Arial"/>
                <w:sz w:val="24"/>
              </w:rPr>
              <w:t>viktiga aktörer”</w:t>
            </w:r>
          </w:p>
        </w:tc>
      </w:tr>
      <w:tr w:rsidR="002464C3" w:rsidRPr="00DB6BAB" w14:paraId="5A0446AF" w14:textId="77777777" w:rsidTr="00933F4B">
        <w:tc>
          <w:tcPr>
            <w:tcW w:w="3963" w:type="dxa"/>
            <w:shd w:val="clear" w:color="auto" w:fill="BEE7FF" w:themeFill="accent1" w:themeFillTint="33"/>
          </w:tcPr>
          <w:p w14:paraId="58B3487C" w14:textId="709C28EB" w:rsidR="002464C3" w:rsidRPr="00712713" w:rsidRDefault="002464C3" w:rsidP="002361A3">
            <w:pPr>
              <w:spacing w:before="60" w:after="60" w:afterAutospacing="0"/>
              <w:rPr>
                <w:rFonts w:ascii="Arial" w:hAnsi="Arial" w:cs="Arial"/>
                <w:b/>
                <w:bCs/>
                <w:sz w:val="20"/>
                <w:szCs w:val="20"/>
              </w:rPr>
            </w:pPr>
            <w:r w:rsidRPr="00712713">
              <w:rPr>
                <w:rFonts w:ascii="Arial" w:hAnsi="Arial" w:cs="Arial"/>
                <w:b/>
                <w:bCs/>
                <w:sz w:val="20"/>
                <w:szCs w:val="20"/>
              </w:rPr>
              <w:t>Fråg</w:t>
            </w:r>
            <w:r w:rsidR="00770CCA">
              <w:rPr>
                <w:rFonts w:ascii="Arial" w:hAnsi="Arial" w:cs="Arial"/>
                <w:b/>
                <w:bCs/>
                <w:sz w:val="20"/>
                <w:szCs w:val="20"/>
              </w:rPr>
              <w:t>eområde</w:t>
            </w:r>
          </w:p>
        </w:tc>
        <w:tc>
          <w:tcPr>
            <w:tcW w:w="5104" w:type="dxa"/>
            <w:shd w:val="clear" w:color="auto" w:fill="BEE7FF" w:themeFill="accent1" w:themeFillTint="33"/>
          </w:tcPr>
          <w:p w14:paraId="70F09EAD" w14:textId="77777777" w:rsidR="002464C3" w:rsidRPr="00712713" w:rsidRDefault="002464C3" w:rsidP="002361A3">
            <w:pPr>
              <w:spacing w:before="60" w:after="60" w:afterAutospacing="0"/>
              <w:rPr>
                <w:rFonts w:ascii="Arial" w:hAnsi="Arial" w:cs="Arial"/>
                <w:b/>
                <w:bCs/>
                <w:sz w:val="20"/>
                <w:szCs w:val="20"/>
              </w:rPr>
            </w:pPr>
            <w:r w:rsidRPr="00712713">
              <w:rPr>
                <w:rFonts w:ascii="Arial" w:hAnsi="Arial" w:cs="Arial"/>
                <w:b/>
                <w:bCs/>
                <w:sz w:val="20"/>
                <w:szCs w:val="20"/>
              </w:rPr>
              <w:t>Kommentar/bedömning</w:t>
            </w:r>
          </w:p>
        </w:tc>
      </w:tr>
      <w:tr w:rsidR="002464C3" w:rsidRPr="00DB6BAB" w14:paraId="45392554" w14:textId="77777777" w:rsidTr="00933F4B">
        <w:tc>
          <w:tcPr>
            <w:tcW w:w="3963" w:type="dxa"/>
            <w:shd w:val="clear" w:color="auto" w:fill="auto"/>
            <w:vAlign w:val="center"/>
          </w:tcPr>
          <w:p w14:paraId="7118A0E1" w14:textId="5BF99137" w:rsidR="002464C3" w:rsidRPr="00F93184" w:rsidRDefault="00770CCA" w:rsidP="00F93184">
            <w:pPr>
              <w:spacing w:line="259" w:lineRule="auto"/>
              <w:rPr>
                <w:rFonts w:asciiTheme="majorHAnsi" w:hAnsiTheme="majorHAnsi" w:cstheme="majorHAnsi"/>
                <w:color w:val="000000" w:themeColor="text1"/>
                <w:szCs w:val="22"/>
              </w:rPr>
            </w:pPr>
            <w:r w:rsidRPr="00770CCA">
              <w:rPr>
                <w:rFonts w:asciiTheme="majorHAnsi" w:hAnsiTheme="majorHAnsi" w:cstheme="majorHAnsi"/>
                <w:color w:val="000000" w:themeColor="text1"/>
                <w:szCs w:val="22"/>
              </w:rPr>
              <w:t>Om ni upplever att er organisation är omnämnd inom relevant område och i rimlig omfattning</w:t>
            </w:r>
            <w:r w:rsidR="007D6BB4">
              <w:rPr>
                <w:rFonts w:asciiTheme="majorHAnsi" w:hAnsiTheme="majorHAnsi" w:cstheme="majorHAnsi"/>
                <w:color w:val="000000" w:themeColor="text1"/>
                <w:szCs w:val="22"/>
              </w:rPr>
              <w:t>.</w:t>
            </w:r>
          </w:p>
        </w:tc>
        <w:tc>
          <w:tcPr>
            <w:tcW w:w="5104" w:type="dxa"/>
            <w:vAlign w:val="center"/>
          </w:tcPr>
          <w:p w14:paraId="58E0DADD" w14:textId="7BC4F417" w:rsidR="002464C3" w:rsidRPr="004F5AB2" w:rsidRDefault="00D274A4" w:rsidP="002361A3">
            <w:pPr>
              <w:spacing w:before="60" w:after="60" w:afterAutospacing="0"/>
              <w:rPr>
                <w:rFonts w:ascii="Arial" w:hAnsi="Arial" w:cs="Arial"/>
                <w:sz w:val="20"/>
                <w:szCs w:val="20"/>
              </w:rPr>
            </w:pPr>
            <w:r>
              <w:rPr>
                <w:rFonts w:ascii="Arial" w:hAnsi="Arial" w:cs="Arial"/>
                <w:sz w:val="20"/>
                <w:szCs w:val="20"/>
              </w:rPr>
              <w:t>Ja, vi bedömer att Göteborgs Spårvägar</w:t>
            </w:r>
            <w:r w:rsidR="00FF7FA6">
              <w:rPr>
                <w:rFonts w:ascii="Arial" w:hAnsi="Arial" w:cs="Arial"/>
                <w:sz w:val="20"/>
                <w:szCs w:val="20"/>
              </w:rPr>
              <w:t>s</w:t>
            </w:r>
            <w:r>
              <w:rPr>
                <w:rFonts w:ascii="Arial" w:hAnsi="Arial" w:cs="Arial"/>
                <w:sz w:val="20"/>
                <w:szCs w:val="20"/>
              </w:rPr>
              <w:t xml:space="preserve"> </w:t>
            </w:r>
            <w:r w:rsidR="00FF7FA6">
              <w:rPr>
                <w:rFonts w:ascii="Arial" w:hAnsi="Arial" w:cs="Arial"/>
                <w:sz w:val="20"/>
                <w:szCs w:val="20"/>
              </w:rPr>
              <w:t xml:space="preserve">omnämnande under </w:t>
            </w:r>
            <w:r w:rsidR="004F5AB2" w:rsidRPr="004F5AB2">
              <w:rPr>
                <w:rFonts w:ascii="Arial" w:hAnsi="Arial" w:cs="Arial"/>
                <w:i/>
                <w:iCs/>
                <w:sz w:val="20"/>
                <w:szCs w:val="20"/>
              </w:rPr>
              <w:t>Stimulera utvecklingen av destinationens infrastruktur</w:t>
            </w:r>
            <w:r w:rsidR="004F5AB2">
              <w:rPr>
                <w:rFonts w:ascii="Arial" w:hAnsi="Arial" w:cs="Arial"/>
                <w:i/>
                <w:iCs/>
                <w:sz w:val="20"/>
                <w:szCs w:val="20"/>
              </w:rPr>
              <w:t xml:space="preserve"> </w:t>
            </w:r>
            <w:r w:rsidR="004F5AB2">
              <w:rPr>
                <w:rFonts w:ascii="Arial" w:hAnsi="Arial" w:cs="Arial"/>
                <w:sz w:val="20"/>
                <w:szCs w:val="20"/>
              </w:rPr>
              <w:t>är riktig</w:t>
            </w:r>
            <w:r w:rsidR="00860AFA">
              <w:rPr>
                <w:rFonts w:ascii="Arial" w:hAnsi="Arial" w:cs="Arial"/>
                <w:sz w:val="20"/>
                <w:szCs w:val="20"/>
              </w:rPr>
              <w:t>t.</w:t>
            </w:r>
          </w:p>
        </w:tc>
      </w:tr>
      <w:tr w:rsidR="002464C3" w:rsidRPr="00DB6BAB" w14:paraId="3E800140" w14:textId="77777777" w:rsidTr="00933F4B">
        <w:trPr>
          <w:trHeight w:val="60"/>
        </w:trPr>
        <w:tc>
          <w:tcPr>
            <w:tcW w:w="3963" w:type="dxa"/>
            <w:shd w:val="clear" w:color="auto" w:fill="auto"/>
            <w:vAlign w:val="center"/>
          </w:tcPr>
          <w:p w14:paraId="3C59E793" w14:textId="5945F417" w:rsidR="002464C3" w:rsidRPr="00770CCA" w:rsidRDefault="00770CCA" w:rsidP="00770CCA">
            <w:pPr>
              <w:spacing w:line="259" w:lineRule="auto"/>
              <w:rPr>
                <w:rFonts w:asciiTheme="majorHAnsi" w:hAnsiTheme="majorHAnsi" w:cstheme="majorHAnsi"/>
                <w:sz w:val="20"/>
                <w:szCs w:val="20"/>
              </w:rPr>
            </w:pPr>
            <w:r w:rsidRPr="00770CCA">
              <w:rPr>
                <w:rFonts w:asciiTheme="majorHAnsi" w:hAnsiTheme="majorHAnsi" w:cstheme="majorHAnsi"/>
                <w:color w:val="000000" w:themeColor="text1"/>
                <w:szCs w:val="22"/>
              </w:rPr>
              <w:t>Om ni ser ytterligare kopplingar till strategier och målsättningar i stadens styrande dokument och/eller den egna organisationens uppdrag som inte fullt omhändertas i nuvarande förslag.</w:t>
            </w:r>
          </w:p>
        </w:tc>
        <w:tc>
          <w:tcPr>
            <w:tcW w:w="5104" w:type="dxa"/>
            <w:vAlign w:val="center"/>
          </w:tcPr>
          <w:p w14:paraId="6015C6FF" w14:textId="5BC5FBB1" w:rsidR="002464C3" w:rsidRPr="00E02836" w:rsidRDefault="003817AD" w:rsidP="004C063E">
            <w:pPr>
              <w:rPr>
                <w:rFonts w:ascii="Arial" w:hAnsi="Arial" w:cs="Arial"/>
                <w:color w:val="FF0000"/>
                <w:sz w:val="20"/>
                <w:szCs w:val="20"/>
              </w:rPr>
            </w:pPr>
            <w:r w:rsidRPr="004C063E">
              <w:rPr>
                <w:rFonts w:ascii="Arial" w:hAnsi="Arial" w:cs="Arial"/>
                <w:sz w:val="20"/>
                <w:szCs w:val="20"/>
              </w:rPr>
              <w:t xml:space="preserve">För att ytterligare ligga i linje med </w:t>
            </w:r>
            <w:r w:rsidR="008D3E75" w:rsidRPr="004C063E">
              <w:rPr>
                <w:rFonts w:ascii="Arial" w:hAnsi="Arial" w:cs="Arial"/>
                <w:i/>
                <w:iCs/>
                <w:sz w:val="20"/>
                <w:szCs w:val="20"/>
              </w:rPr>
              <w:t>Göteborgs Stads Trafikstrategi för en nära storstad</w:t>
            </w:r>
            <w:r w:rsidR="008D3E75" w:rsidRPr="004C063E">
              <w:rPr>
                <w:rFonts w:ascii="Arial" w:hAnsi="Arial" w:cs="Arial"/>
                <w:sz w:val="20"/>
                <w:szCs w:val="20"/>
              </w:rPr>
              <w:t xml:space="preserve"> </w:t>
            </w:r>
            <w:r w:rsidR="00973FB9">
              <w:rPr>
                <w:rFonts w:ascii="Arial" w:hAnsi="Arial" w:cs="Arial"/>
                <w:sz w:val="20"/>
                <w:szCs w:val="20"/>
              </w:rPr>
              <w:t>kan</w:t>
            </w:r>
            <w:r w:rsidR="008D3E75" w:rsidRPr="004C063E">
              <w:rPr>
                <w:rFonts w:ascii="Arial" w:hAnsi="Arial" w:cs="Arial"/>
                <w:sz w:val="20"/>
                <w:szCs w:val="20"/>
              </w:rPr>
              <w:t xml:space="preserve"> programmet ytterligare </w:t>
            </w:r>
            <w:r w:rsidR="004C063E" w:rsidRPr="004C063E">
              <w:rPr>
                <w:rFonts w:ascii="Arial" w:hAnsi="Arial" w:cs="Arial"/>
                <w:sz w:val="20"/>
                <w:szCs w:val="20"/>
              </w:rPr>
              <w:t>rikta in sig på de hållbara färdsätten gång, cykel och kollektivtrafik</w:t>
            </w:r>
            <w:r w:rsidR="009633E1" w:rsidRPr="004C063E">
              <w:rPr>
                <w:rFonts w:ascii="Arial" w:hAnsi="Arial" w:cs="Arial"/>
                <w:sz w:val="20"/>
                <w:szCs w:val="20"/>
              </w:rPr>
              <w:t>.</w:t>
            </w:r>
          </w:p>
        </w:tc>
      </w:tr>
    </w:tbl>
    <w:p w14:paraId="332FDD62" w14:textId="17C96541" w:rsidR="001D7DDD" w:rsidRDefault="001D7DDD" w:rsidP="000046E1">
      <w:pPr>
        <w:rPr>
          <w:color w:val="FF0000"/>
        </w:rPr>
      </w:pPr>
    </w:p>
    <w:p w14:paraId="477B3822" w14:textId="77777777" w:rsidR="00F85268" w:rsidRDefault="00F85268" w:rsidP="000046E1">
      <w:pPr>
        <w:rPr>
          <w:color w:val="FF0000"/>
        </w:rPr>
      </w:pPr>
    </w:p>
    <w:p w14:paraId="04534C51" w14:textId="77777777" w:rsidR="007E0B7C" w:rsidRDefault="007E0B7C" w:rsidP="000046E1">
      <w:pPr>
        <w:rPr>
          <w:color w:val="FF0000"/>
        </w:rPr>
      </w:pPr>
    </w:p>
    <w:p w14:paraId="3B011D90" w14:textId="77777777" w:rsidR="00F85268" w:rsidRPr="00F85268" w:rsidRDefault="00F85268" w:rsidP="00F85268">
      <w:pPr>
        <w:spacing w:line="259" w:lineRule="auto"/>
        <w:rPr>
          <w:rFonts w:ascii="Times New Roman" w:eastAsia="Calibri" w:hAnsi="Times New Roman" w:cs="Times New Roman"/>
          <w:szCs w:val="22"/>
        </w:rPr>
      </w:pPr>
      <w:r w:rsidRPr="00F85268">
        <w:rPr>
          <w:rFonts w:ascii="Times New Roman" w:eastAsia="Calibri" w:hAnsi="Times New Roman" w:cs="Times New Roman"/>
          <w:szCs w:val="22"/>
        </w:rPr>
        <w:t xml:space="preserve">Detta yttrande har inte hanterats av eller varit föremål för beslut i </w:t>
      </w:r>
      <w:proofErr w:type="spellStart"/>
      <w:r w:rsidRPr="00F85268">
        <w:rPr>
          <w:rFonts w:ascii="Times New Roman" w:eastAsia="Calibri" w:hAnsi="Times New Roman" w:cs="Times New Roman"/>
          <w:szCs w:val="22"/>
        </w:rPr>
        <w:t>GSABs</w:t>
      </w:r>
      <w:proofErr w:type="spellEnd"/>
      <w:r w:rsidRPr="00F85268">
        <w:rPr>
          <w:rFonts w:ascii="Times New Roman" w:eastAsia="Calibri" w:hAnsi="Times New Roman" w:cs="Times New Roman"/>
          <w:szCs w:val="22"/>
        </w:rPr>
        <w:t xml:space="preserve"> styrelse. </w:t>
      </w:r>
    </w:p>
    <w:p w14:paraId="34D7E791" w14:textId="77777777" w:rsidR="00F85268" w:rsidRDefault="00F85268" w:rsidP="00F85268">
      <w:pPr>
        <w:spacing w:line="259" w:lineRule="auto"/>
        <w:rPr>
          <w:rFonts w:ascii="Times New Roman" w:eastAsia="Calibri" w:hAnsi="Times New Roman" w:cs="Times New Roman"/>
          <w:szCs w:val="22"/>
        </w:rPr>
      </w:pPr>
    </w:p>
    <w:p w14:paraId="7AE679C8" w14:textId="77777777" w:rsidR="00AA1050" w:rsidRPr="00F85268" w:rsidRDefault="00AA1050" w:rsidP="00F85268">
      <w:pPr>
        <w:spacing w:line="259" w:lineRule="auto"/>
        <w:rPr>
          <w:rFonts w:ascii="Times New Roman" w:eastAsia="Calibri" w:hAnsi="Times New Roman" w:cs="Times New Roman"/>
          <w:szCs w:val="22"/>
        </w:rPr>
      </w:pPr>
    </w:p>
    <w:p w14:paraId="54BE3A6B" w14:textId="77777777" w:rsidR="00F85268" w:rsidRDefault="00F85268" w:rsidP="00F85268">
      <w:pPr>
        <w:spacing w:after="0" w:line="259" w:lineRule="auto"/>
        <w:rPr>
          <w:rFonts w:ascii="Times New Roman" w:eastAsia="Calibri" w:hAnsi="Times New Roman" w:cs="Times New Roman"/>
          <w:szCs w:val="22"/>
        </w:rPr>
      </w:pPr>
    </w:p>
    <w:p w14:paraId="007C2EF2" w14:textId="3EF159D9" w:rsidR="00F85268" w:rsidRDefault="001D37E9" w:rsidP="00F85268">
      <w:pPr>
        <w:spacing w:after="0" w:line="259" w:lineRule="auto"/>
        <w:rPr>
          <w:rFonts w:ascii="Times New Roman" w:eastAsia="Calibri" w:hAnsi="Times New Roman" w:cs="Times New Roman"/>
          <w:szCs w:val="22"/>
        </w:rPr>
      </w:pPr>
      <w:r>
        <w:rPr>
          <w:rFonts w:ascii="Times New Roman" w:eastAsia="Calibri" w:hAnsi="Times New Roman" w:cs="Times New Roman"/>
          <w:noProof/>
          <w:szCs w:val="22"/>
        </w:rPr>
        <w:drawing>
          <wp:anchor distT="0" distB="0" distL="114300" distR="114300" simplePos="0" relativeHeight="251658240" behindDoc="1" locked="0" layoutInCell="1" allowOverlap="1" wp14:anchorId="4BA8CC69" wp14:editId="3DAFEEB9">
            <wp:simplePos x="0" y="0"/>
            <wp:positionH relativeFrom="column">
              <wp:posOffset>4244502</wp:posOffset>
            </wp:positionH>
            <wp:positionV relativeFrom="paragraph">
              <wp:posOffset>56515</wp:posOffset>
            </wp:positionV>
            <wp:extent cx="1450975" cy="435610"/>
            <wp:effectExtent l="0" t="0" r="0" b="2540"/>
            <wp:wrapTight wrapText="bothSides">
              <wp:wrapPolygon edited="0">
                <wp:start x="0" y="0"/>
                <wp:lineTo x="0" y="20781"/>
                <wp:lineTo x="21269" y="20781"/>
                <wp:lineTo x="21269"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0975" cy="435610"/>
                    </a:xfrm>
                    <a:prstGeom prst="rect">
                      <a:avLst/>
                    </a:prstGeom>
                    <a:noFill/>
                  </pic:spPr>
                </pic:pic>
              </a:graphicData>
            </a:graphic>
            <wp14:sizeRelH relativeFrom="margin">
              <wp14:pctWidth>0</wp14:pctWidth>
            </wp14:sizeRelH>
            <wp14:sizeRelV relativeFrom="margin">
              <wp14:pctHeight>0</wp14:pctHeight>
            </wp14:sizeRelV>
          </wp:anchor>
        </w:drawing>
      </w:r>
      <w:r w:rsidR="00F85268">
        <w:rPr>
          <w:rFonts w:ascii="Times New Roman" w:eastAsia="Calibri" w:hAnsi="Times New Roman" w:cs="Times New Roman"/>
          <w:szCs w:val="22"/>
        </w:rPr>
        <w:t>Mikael Skoglund</w:t>
      </w:r>
    </w:p>
    <w:p w14:paraId="517C4FE9" w14:textId="2A73FE59" w:rsidR="00F85268" w:rsidRDefault="00CC22A4" w:rsidP="001D37E9">
      <w:pPr>
        <w:tabs>
          <w:tab w:val="left" w:pos="5274"/>
        </w:tabs>
        <w:spacing w:after="0" w:line="259" w:lineRule="auto"/>
        <w:rPr>
          <w:rFonts w:ascii="Times New Roman" w:eastAsia="Calibri" w:hAnsi="Times New Roman" w:cs="Times New Roman"/>
          <w:szCs w:val="22"/>
        </w:rPr>
      </w:pPr>
      <w:r>
        <w:rPr>
          <w:rFonts w:ascii="Times New Roman" w:eastAsia="Calibri" w:hAnsi="Times New Roman" w:cs="Times New Roman"/>
          <w:szCs w:val="22"/>
        </w:rPr>
        <w:t>Avdelningschef Marknad och Produkt</w:t>
      </w:r>
      <w:r w:rsidR="001D37E9">
        <w:rPr>
          <w:rFonts w:ascii="Times New Roman" w:eastAsia="Calibri" w:hAnsi="Times New Roman" w:cs="Times New Roman"/>
          <w:szCs w:val="22"/>
        </w:rPr>
        <w:tab/>
      </w:r>
    </w:p>
    <w:p w14:paraId="14E2B3CE" w14:textId="77777777" w:rsidR="00CC22A4" w:rsidRPr="00F85268" w:rsidRDefault="00CC22A4" w:rsidP="00CC22A4">
      <w:pPr>
        <w:spacing w:line="259" w:lineRule="auto"/>
        <w:rPr>
          <w:rFonts w:ascii="Times New Roman" w:eastAsia="Calibri" w:hAnsi="Times New Roman" w:cs="Times New Roman"/>
          <w:szCs w:val="22"/>
        </w:rPr>
      </w:pPr>
      <w:r w:rsidRPr="00F85268">
        <w:rPr>
          <w:rFonts w:ascii="Times New Roman" w:eastAsia="Calibri" w:hAnsi="Times New Roman" w:cs="Times New Roman"/>
          <w:szCs w:val="22"/>
        </w:rPr>
        <w:t>Göteborgs Spårvägar AB</w:t>
      </w:r>
    </w:p>
    <w:p w14:paraId="235CE545" w14:textId="77777777" w:rsidR="00CC22A4" w:rsidRDefault="00CC22A4" w:rsidP="00F85268">
      <w:pPr>
        <w:spacing w:after="0" w:line="259" w:lineRule="auto"/>
        <w:rPr>
          <w:rFonts w:ascii="Times New Roman" w:eastAsia="Calibri" w:hAnsi="Times New Roman" w:cs="Times New Roman"/>
          <w:szCs w:val="22"/>
        </w:rPr>
      </w:pPr>
    </w:p>
    <w:p w14:paraId="1FA1628D" w14:textId="77777777" w:rsidR="00F85268" w:rsidRDefault="00F85268" w:rsidP="00F85268">
      <w:pPr>
        <w:spacing w:after="0" w:line="259" w:lineRule="auto"/>
        <w:rPr>
          <w:rFonts w:ascii="Times New Roman" w:eastAsia="Calibri" w:hAnsi="Times New Roman" w:cs="Times New Roman"/>
          <w:szCs w:val="22"/>
        </w:rPr>
      </w:pPr>
    </w:p>
    <w:p w14:paraId="15F0CF94" w14:textId="77777777" w:rsidR="00F85268" w:rsidRDefault="00F85268" w:rsidP="00F85268">
      <w:pPr>
        <w:spacing w:after="0" w:line="259" w:lineRule="auto"/>
        <w:rPr>
          <w:rFonts w:ascii="Times New Roman" w:eastAsia="Calibri" w:hAnsi="Times New Roman" w:cs="Times New Roman"/>
          <w:szCs w:val="22"/>
        </w:rPr>
      </w:pPr>
    </w:p>
    <w:p w14:paraId="1C5D2E89" w14:textId="77777777" w:rsidR="00F85268" w:rsidRDefault="00F85268" w:rsidP="00F85268">
      <w:pPr>
        <w:spacing w:after="0" w:line="259" w:lineRule="auto"/>
        <w:rPr>
          <w:rFonts w:ascii="Times New Roman" w:eastAsia="Calibri" w:hAnsi="Times New Roman" w:cs="Times New Roman"/>
          <w:szCs w:val="22"/>
        </w:rPr>
      </w:pPr>
    </w:p>
    <w:p w14:paraId="7B796183" w14:textId="1AA95216" w:rsidR="00F85268" w:rsidRPr="001D7DDD" w:rsidRDefault="00F85268" w:rsidP="000046E1">
      <w:pPr>
        <w:rPr>
          <w:color w:val="FF0000"/>
        </w:rPr>
      </w:pPr>
    </w:p>
    <w:sectPr w:rsidR="00F85268" w:rsidRPr="001D7DDD" w:rsidSect="00BA1320">
      <w:footerReference w:type="defaul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4EA56" w14:textId="77777777" w:rsidR="00BD2E64" w:rsidRDefault="00BD2E64" w:rsidP="00BF282B">
      <w:pPr>
        <w:spacing w:after="0" w:line="240" w:lineRule="auto"/>
      </w:pPr>
      <w:r>
        <w:separator/>
      </w:r>
    </w:p>
  </w:endnote>
  <w:endnote w:type="continuationSeparator" w:id="0">
    <w:p w14:paraId="1327C833" w14:textId="77777777" w:rsidR="00BD2E64" w:rsidRDefault="00BD2E64" w:rsidP="00BF282B">
      <w:pPr>
        <w:spacing w:after="0" w:line="240" w:lineRule="auto"/>
      </w:pPr>
      <w:r>
        <w:continuationSeparator/>
      </w:r>
    </w:p>
  </w:endnote>
  <w:endnote w:type="continuationNotice" w:id="1">
    <w:p w14:paraId="171A3B67" w14:textId="77777777" w:rsidR="003B4A6B" w:rsidRDefault="003B4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09401338"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5446F30F" w14:textId="2C66585A" w:rsidR="00E92E25" w:rsidRPr="009B4E2A" w:rsidRDefault="007D6BB4" w:rsidP="00DF152D">
              <w:pPr>
                <w:pStyle w:val="Sidfot"/>
              </w:pPr>
              <w:r>
                <w:t>Göteborgs Stads program för besöksnäringens utveckling 2022–2030, remissmall</w:t>
              </w:r>
            </w:p>
          </w:tc>
        </w:sdtContent>
      </w:sdt>
      <w:tc>
        <w:tcPr>
          <w:tcW w:w="1917" w:type="dxa"/>
        </w:tcPr>
        <w:p w14:paraId="40E76CA7"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C932AC">
            <w:rPr>
              <w:noProof/>
            </w:rPr>
            <w:t>5</w:t>
          </w:r>
          <w:r w:rsidRPr="009B4E2A">
            <w:fldChar w:fldCharType="end"/>
          </w:r>
          <w:r w:rsidRPr="009B4E2A">
            <w:t xml:space="preserve"> (</w:t>
          </w:r>
          <w:fldSimple w:instr=" NUMPAGES   \* MERGEFORMAT ">
            <w:r w:rsidR="00C932AC">
              <w:rPr>
                <w:noProof/>
              </w:rPr>
              <w:t>5</w:t>
            </w:r>
          </w:fldSimple>
          <w:r w:rsidRPr="009B4E2A">
            <w:t>)</w:t>
          </w:r>
        </w:p>
      </w:tc>
    </w:tr>
    <w:tr w:rsidR="00F66187" w14:paraId="447E70F2" w14:textId="77777777" w:rsidTr="00E92E25">
      <w:tc>
        <w:tcPr>
          <w:tcW w:w="3338" w:type="dxa"/>
        </w:tcPr>
        <w:p w14:paraId="7A2E08EE" w14:textId="77777777" w:rsidR="00F66187" w:rsidRPr="00F66187" w:rsidRDefault="00F66187" w:rsidP="00DF152D">
          <w:pPr>
            <w:pStyle w:val="Sidfot"/>
            <w:rPr>
              <w:rStyle w:val="Platshllartext"/>
              <w:color w:val="auto"/>
            </w:rPr>
          </w:pPr>
        </w:p>
      </w:tc>
      <w:tc>
        <w:tcPr>
          <w:tcW w:w="3817" w:type="dxa"/>
        </w:tcPr>
        <w:p w14:paraId="53199E80" w14:textId="77777777" w:rsidR="00F66187" w:rsidRDefault="00F66187" w:rsidP="00DF152D">
          <w:pPr>
            <w:pStyle w:val="Sidfot"/>
          </w:pPr>
        </w:p>
      </w:tc>
      <w:tc>
        <w:tcPr>
          <w:tcW w:w="1917" w:type="dxa"/>
        </w:tcPr>
        <w:p w14:paraId="18E28113" w14:textId="77777777" w:rsidR="00F66187" w:rsidRDefault="00F66187" w:rsidP="00DF152D">
          <w:pPr>
            <w:pStyle w:val="Sidfot"/>
            <w:jc w:val="right"/>
          </w:pPr>
        </w:p>
      </w:tc>
    </w:tr>
    <w:tr w:rsidR="00F66187" w14:paraId="7A03563B" w14:textId="77777777" w:rsidTr="00E92E25">
      <w:tc>
        <w:tcPr>
          <w:tcW w:w="3338" w:type="dxa"/>
        </w:tcPr>
        <w:p w14:paraId="41BFD2D9" w14:textId="77777777" w:rsidR="00F66187" w:rsidRDefault="00F66187" w:rsidP="00DF152D">
          <w:pPr>
            <w:pStyle w:val="Sidfot"/>
          </w:pPr>
        </w:p>
      </w:tc>
      <w:tc>
        <w:tcPr>
          <w:tcW w:w="3817" w:type="dxa"/>
        </w:tcPr>
        <w:p w14:paraId="7708ADFD" w14:textId="77777777" w:rsidR="00F66187" w:rsidRDefault="00F66187" w:rsidP="00DF152D">
          <w:pPr>
            <w:pStyle w:val="Sidfot"/>
          </w:pPr>
        </w:p>
      </w:tc>
      <w:tc>
        <w:tcPr>
          <w:tcW w:w="1917" w:type="dxa"/>
        </w:tcPr>
        <w:p w14:paraId="2307B6FA" w14:textId="77777777" w:rsidR="00F66187" w:rsidRDefault="00F66187" w:rsidP="00DF152D">
          <w:pPr>
            <w:pStyle w:val="Sidfot"/>
            <w:jc w:val="right"/>
          </w:pPr>
        </w:p>
      </w:tc>
    </w:tr>
  </w:tbl>
  <w:p w14:paraId="6D100539"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33B8B9DB"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54CF4AE0" w14:textId="45340EAC" w:rsidR="00FB3384" w:rsidRPr="009B4E2A" w:rsidRDefault="007D6BB4" w:rsidP="00BD0663">
              <w:pPr>
                <w:pStyle w:val="Sidfot"/>
              </w:pPr>
              <w:r>
                <w:t>Göteborgs Stads program för besöksnäringens utveckling 2022–2030, remissmall</w:t>
              </w:r>
            </w:p>
          </w:tc>
        </w:sdtContent>
      </w:sdt>
      <w:tc>
        <w:tcPr>
          <w:tcW w:w="1954" w:type="dxa"/>
        </w:tcPr>
        <w:p w14:paraId="2F784340"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C932AC">
            <w:rPr>
              <w:noProof/>
            </w:rPr>
            <w:t>1</w:t>
          </w:r>
          <w:r w:rsidRPr="009B4E2A">
            <w:fldChar w:fldCharType="end"/>
          </w:r>
          <w:r w:rsidRPr="009B4E2A">
            <w:t xml:space="preserve"> (</w:t>
          </w:r>
          <w:fldSimple w:instr=" NUMPAGES   \* MERGEFORMAT ">
            <w:r w:rsidR="00C932AC">
              <w:rPr>
                <w:noProof/>
              </w:rPr>
              <w:t>5</w:t>
            </w:r>
          </w:fldSimple>
          <w:r w:rsidRPr="009B4E2A">
            <w:t>)</w:t>
          </w:r>
        </w:p>
      </w:tc>
    </w:tr>
    <w:tr w:rsidR="00FB3384" w14:paraId="7DB1125D" w14:textId="77777777" w:rsidTr="00FB3384">
      <w:tc>
        <w:tcPr>
          <w:tcW w:w="3319" w:type="dxa"/>
        </w:tcPr>
        <w:p w14:paraId="50BEC499" w14:textId="77777777" w:rsidR="00FB3384" w:rsidRPr="00F66187" w:rsidRDefault="00FB3384" w:rsidP="00BD0663">
          <w:pPr>
            <w:pStyle w:val="Sidfot"/>
            <w:rPr>
              <w:rStyle w:val="Platshllartext"/>
              <w:color w:val="auto"/>
            </w:rPr>
          </w:pPr>
        </w:p>
      </w:tc>
      <w:tc>
        <w:tcPr>
          <w:tcW w:w="3799" w:type="dxa"/>
        </w:tcPr>
        <w:p w14:paraId="41890AB5" w14:textId="77777777" w:rsidR="00FB3384" w:rsidRDefault="00FB3384" w:rsidP="00BD0663">
          <w:pPr>
            <w:pStyle w:val="Sidfot"/>
          </w:pPr>
        </w:p>
      </w:tc>
      <w:tc>
        <w:tcPr>
          <w:tcW w:w="1954" w:type="dxa"/>
          <w:vMerge w:val="restart"/>
          <w:vAlign w:val="bottom"/>
        </w:tcPr>
        <w:p w14:paraId="416C9586" w14:textId="77777777" w:rsidR="00FB3384" w:rsidRDefault="00FB3384" w:rsidP="00FB3384">
          <w:pPr>
            <w:pStyle w:val="Sidfot"/>
            <w:jc w:val="right"/>
          </w:pPr>
        </w:p>
      </w:tc>
    </w:tr>
    <w:tr w:rsidR="00FB3384" w14:paraId="2220754E" w14:textId="77777777" w:rsidTr="00FB3384">
      <w:tc>
        <w:tcPr>
          <w:tcW w:w="3319" w:type="dxa"/>
        </w:tcPr>
        <w:p w14:paraId="0D1A6E14" w14:textId="77777777" w:rsidR="00FB3384" w:rsidRDefault="00FB3384" w:rsidP="00BD0663">
          <w:pPr>
            <w:pStyle w:val="Sidfot"/>
          </w:pPr>
        </w:p>
      </w:tc>
      <w:tc>
        <w:tcPr>
          <w:tcW w:w="3799" w:type="dxa"/>
        </w:tcPr>
        <w:p w14:paraId="49FDA525" w14:textId="77777777" w:rsidR="00FB3384" w:rsidRDefault="00FB3384" w:rsidP="00BD0663">
          <w:pPr>
            <w:pStyle w:val="Sidfot"/>
          </w:pPr>
        </w:p>
      </w:tc>
      <w:tc>
        <w:tcPr>
          <w:tcW w:w="1954" w:type="dxa"/>
          <w:vMerge/>
        </w:tcPr>
        <w:p w14:paraId="22B558E8" w14:textId="77777777" w:rsidR="00FB3384" w:rsidRDefault="00FB3384" w:rsidP="00BD0663">
          <w:pPr>
            <w:pStyle w:val="Sidfot"/>
            <w:jc w:val="right"/>
          </w:pPr>
        </w:p>
      </w:tc>
    </w:tr>
  </w:tbl>
  <w:p w14:paraId="5240ED94"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DB973" w14:textId="77777777" w:rsidR="00BD2E64" w:rsidRDefault="00BD2E64" w:rsidP="00BF282B">
      <w:pPr>
        <w:spacing w:after="0" w:line="240" w:lineRule="auto"/>
      </w:pPr>
      <w:r>
        <w:separator/>
      </w:r>
    </w:p>
  </w:footnote>
  <w:footnote w:type="continuationSeparator" w:id="0">
    <w:p w14:paraId="3499F83D" w14:textId="77777777" w:rsidR="00BD2E64" w:rsidRDefault="00BD2E64" w:rsidP="00BF282B">
      <w:pPr>
        <w:spacing w:after="0" w:line="240" w:lineRule="auto"/>
      </w:pPr>
      <w:r>
        <w:continuationSeparator/>
      </w:r>
    </w:p>
  </w:footnote>
  <w:footnote w:type="continuationNotice" w:id="1">
    <w:p w14:paraId="3338F806" w14:textId="77777777" w:rsidR="003B4A6B" w:rsidRDefault="003B4A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F3499"/>
    <w:multiLevelType w:val="hybridMultilevel"/>
    <w:tmpl w:val="40485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24B15EB"/>
    <w:multiLevelType w:val="hybridMultilevel"/>
    <w:tmpl w:val="16DA2AB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A00D75"/>
    <w:multiLevelType w:val="hybridMultilevel"/>
    <w:tmpl w:val="CC44C554"/>
    <w:lvl w:ilvl="0" w:tplc="A87ABC66">
      <w:start w:val="1"/>
      <w:numFmt w:val="bullet"/>
      <w:lvlText w:val=""/>
      <w:lvlJc w:val="left"/>
      <w:pPr>
        <w:ind w:left="720" w:hanging="360"/>
      </w:pPr>
      <w:rPr>
        <w:rFonts w:ascii="Symbol" w:hAnsi="Symbol" w:hint="default"/>
      </w:rPr>
    </w:lvl>
    <w:lvl w:ilvl="1" w:tplc="4A9CD64A">
      <w:start w:val="1"/>
      <w:numFmt w:val="bullet"/>
      <w:lvlText w:val="o"/>
      <w:lvlJc w:val="left"/>
      <w:pPr>
        <w:ind w:left="1440" w:hanging="360"/>
      </w:pPr>
      <w:rPr>
        <w:rFonts w:ascii="Courier New" w:hAnsi="Courier New" w:hint="default"/>
      </w:rPr>
    </w:lvl>
    <w:lvl w:ilvl="2" w:tplc="61068A40">
      <w:start w:val="1"/>
      <w:numFmt w:val="bullet"/>
      <w:lvlText w:val=""/>
      <w:lvlJc w:val="left"/>
      <w:pPr>
        <w:ind w:left="2160" w:hanging="360"/>
      </w:pPr>
      <w:rPr>
        <w:rFonts w:ascii="Wingdings" w:hAnsi="Wingdings" w:hint="default"/>
      </w:rPr>
    </w:lvl>
    <w:lvl w:ilvl="3" w:tplc="58D8AF2C">
      <w:start w:val="1"/>
      <w:numFmt w:val="bullet"/>
      <w:lvlText w:val=""/>
      <w:lvlJc w:val="left"/>
      <w:pPr>
        <w:ind w:left="2880" w:hanging="360"/>
      </w:pPr>
      <w:rPr>
        <w:rFonts w:ascii="Symbol" w:hAnsi="Symbol" w:hint="default"/>
      </w:rPr>
    </w:lvl>
    <w:lvl w:ilvl="4" w:tplc="B510998E">
      <w:start w:val="1"/>
      <w:numFmt w:val="bullet"/>
      <w:lvlText w:val="o"/>
      <w:lvlJc w:val="left"/>
      <w:pPr>
        <w:ind w:left="3600" w:hanging="360"/>
      </w:pPr>
      <w:rPr>
        <w:rFonts w:ascii="Courier New" w:hAnsi="Courier New" w:hint="default"/>
      </w:rPr>
    </w:lvl>
    <w:lvl w:ilvl="5" w:tplc="448E5D10">
      <w:start w:val="1"/>
      <w:numFmt w:val="bullet"/>
      <w:lvlText w:val=""/>
      <w:lvlJc w:val="left"/>
      <w:pPr>
        <w:ind w:left="4320" w:hanging="360"/>
      </w:pPr>
      <w:rPr>
        <w:rFonts w:ascii="Wingdings" w:hAnsi="Wingdings" w:hint="default"/>
      </w:rPr>
    </w:lvl>
    <w:lvl w:ilvl="6" w:tplc="8A0A286A">
      <w:start w:val="1"/>
      <w:numFmt w:val="bullet"/>
      <w:lvlText w:val=""/>
      <w:lvlJc w:val="left"/>
      <w:pPr>
        <w:ind w:left="5040" w:hanging="360"/>
      </w:pPr>
      <w:rPr>
        <w:rFonts w:ascii="Symbol" w:hAnsi="Symbol" w:hint="default"/>
      </w:rPr>
    </w:lvl>
    <w:lvl w:ilvl="7" w:tplc="C67045A4">
      <w:start w:val="1"/>
      <w:numFmt w:val="bullet"/>
      <w:lvlText w:val="o"/>
      <w:lvlJc w:val="left"/>
      <w:pPr>
        <w:ind w:left="5760" w:hanging="360"/>
      </w:pPr>
      <w:rPr>
        <w:rFonts w:ascii="Courier New" w:hAnsi="Courier New" w:hint="default"/>
      </w:rPr>
    </w:lvl>
    <w:lvl w:ilvl="8" w:tplc="11E6E450">
      <w:start w:val="1"/>
      <w:numFmt w:val="bullet"/>
      <w:lvlText w:val=""/>
      <w:lvlJc w:val="left"/>
      <w:pPr>
        <w:ind w:left="6480" w:hanging="360"/>
      </w:pPr>
      <w:rPr>
        <w:rFonts w:ascii="Wingdings" w:hAnsi="Wingdings" w:hint="default"/>
      </w:rPr>
    </w:lvl>
  </w:abstractNum>
  <w:abstractNum w:abstractNumId="5"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5A92FF2"/>
    <w:multiLevelType w:val="hybridMultilevel"/>
    <w:tmpl w:val="5B60E79E"/>
    <w:lvl w:ilvl="0" w:tplc="E92A6F62">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2"/>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046E1"/>
    <w:rsid w:val="00011AD6"/>
    <w:rsid w:val="000354CD"/>
    <w:rsid w:val="000413AB"/>
    <w:rsid w:val="0005307D"/>
    <w:rsid w:val="000537C0"/>
    <w:rsid w:val="000707CC"/>
    <w:rsid w:val="00075E07"/>
    <w:rsid w:val="00085DFC"/>
    <w:rsid w:val="000C68BA"/>
    <w:rsid w:val="000F2B85"/>
    <w:rsid w:val="0011058C"/>
    <w:rsid w:val="0011061F"/>
    <w:rsid w:val="00112467"/>
    <w:rsid w:val="0011381D"/>
    <w:rsid w:val="0012181D"/>
    <w:rsid w:val="001221CC"/>
    <w:rsid w:val="0013335C"/>
    <w:rsid w:val="00142FEF"/>
    <w:rsid w:val="001444A1"/>
    <w:rsid w:val="00163BBB"/>
    <w:rsid w:val="00173F0C"/>
    <w:rsid w:val="00185518"/>
    <w:rsid w:val="001B3FF4"/>
    <w:rsid w:val="001B7AA7"/>
    <w:rsid w:val="001C2218"/>
    <w:rsid w:val="001D37E9"/>
    <w:rsid w:val="001D645F"/>
    <w:rsid w:val="001D7DDD"/>
    <w:rsid w:val="001E1FF2"/>
    <w:rsid w:val="001E28EB"/>
    <w:rsid w:val="00241F59"/>
    <w:rsid w:val="002464C3"/>
    <w:rsid w:val="00257F49"/>
    <w:rsid w:val="00261E5E"/>
    <w:rsid w:val="002A4CCB"/>
    <w:rsid w:val="002B508E"/>
    <w:rsid w:val="002F1332"/>
    <w:rsid w:val="00304834"/>
    <w:rsid w:val="003164EC"/>
    <w:rsid w:val="003250FE"/>
    <w:rsid w:val="00332A7F"/>
    <w:rsid w:val="003413FA"/>
    <w:rsid w:val="00350FEF"/>
    <w:rsid w:val="00365867"/>
    <w:rsid w:val="00372CB4"/>
    <w:rsid w:val="0037494F"/>
    <w:rsid w:val="003817AD"/>
    <w:rsid w:val="003B4A6B"/>
    <w:rsid w:val="003F4EF3"/>
    <w:rsid w:val="003F7BE3"/>
    <w:rsid w:val="0040168A"/>
    <w:rsid w:val="00403A6B"/>
    <w:rsid w:val="00412BBB"/>
    <w:rsid w:val="00414E79"/>
    <w:rsid w:val="00440D30"/>
    <w:rsid w:val="00464598"/>
    <w:rsid w:val="00472098"/>
    <w:rsid w:val="004721B4"/>
    <w:rsid w:val="00473C11"/>
    <w:rsid w:val="004A5252"/>
    <w:rsid w:val="004A7A9A"/>
    <w:rsid w:val="004B287C"/>
    <w:rsid w:val="004C0571"/>
    <w:rsid w:val="004C063E"/>
    <w:rsid w:val="004C78B0"/>
    <w:rsid w:val="004F0A67"/>
    <w:rsid w:val="004F4E90"/>
    <w:rsid w:val="004F5AB2"/>
    <w:rsid w:val="00521790"/>
    <w:rsid w:val="00525C44"/>
    <w:rsid w:val="00531853"/>
    <w:rsid w:val="0054350D"/>
    <w:rsid w:val="00543DE0"/>
    <w:rsid w:val="00545E91"/>
    <w:rsid w:val="00546351"/>
    <w:rsid w:val="0055023C"/>
    <w:rsid w:val="00550FEC"/>
    <w:rsid w:val="00553C87"/>
    <w:rsid w:val="005729A0"/>
    <w:rsid w:val="00597ACB"/>
    <w:rsid w:val="005B7B0E"/>
    <w:rsid w:val="005D1DE1"/>
    <w:rsid w:val="005E3A67"/>
    <w:rsid w:val="005E6622"/>
    <w:rsid w:val="005F38CE"/>
    <w:rsid w:val="005F5390"/>
    <w:rsid w:val="00603751"/>
    <w:rsid w:val="00613965"/>
    <w:rsid w:val="00630374"/>
    <w:rsid w:val="0065785F"/>
    <w:rsid w:val="0066070F"/>
    <w:rsid w:val="00662DC8"/>
    <w:rsid w:val="00667C1B"/>
    <w:rsid w:val="00690A7F"/>
    <w:rsid w:val="006A40C3"/>
    <w:rsid w:val="006A4CFE"/>
    <w:rsid w:val="006A7BC7"/>
    <w:rsid w:val="006C12B4"/>
    <w:rsid w:val="006C4FB6"/>
    <w:rsid w:val="006E48BC"/>
    <w:rsid w:val="006E618B"/>
    <w:rsid w:val="006F2F11"/>
    <w:rsid w:val="00703A6D"/>
    <w:rsid w:val="00720B05"/>
    <w:rsid w:val="007601A1"/>
    <w:rsid w:val="00763EA3"/>
    <w:rsid w:val="00764CA9"/>
    <w:rsid w:val="00766929"/>
    <w:rsid w:val="00770200"/>
    <w:rsid w:val="00770CCA"/>
    <w:rsid w:val="007864C6"/>
    <w:rsid w:val="007868CB"/>
    <w:rsid w:val="007A025B"/>
    <w:rsid w:val="007A1491"/>
    <w:rsid w:val="007C6DD6"/>
    <w:rsid w:val="007D6BB4"/>
    <w:rsid w:val="007E0B7C"/>
    <w:rsid w:val="007E234D"/>
    <w:rsid w:val="007E3152"/>
    <w:rsid w:val="008010F3"/>
    <w:rsid w:val="00805A9E"/>
    <w:rsid w:val="0081741B"/>
    <w:rsid w:val="008307C6"/>
    <w:rsid w:val="00831E91"/>
    <w:rsid w:val="00842FC8"/>
    <w:rsid w:val="008457BD"/>
    <w:rsid w:val="00860A26"/>
    <w:rsid w:val="00860AFA"/>
    <w:rsid w:val="008760F6"/>
    <w:rsid w:val="00880558"/>
    <w:rsid w:val="00882D7E"/>
    <w:rsid w:val="00884D78"/>
    <w:rsid w:val="00887BDD"/>
    <w:rsid w:val="00892156"/>
    <w:rsid w:val="008B0468"/>
    <w:rsid w:val="008D04C4"/>
    <w:rsid w:val="008D3E75"/>
    <w:rsid w:val="008F5807"/>
    <w:rsid w:val="009003DD"/>
    <w:rsid w:val="009079BD"/>
    <w:rsid w:val="00910F79"/>
    <w:rsid w:val="009229B5"/>
    <w:rsid w:val="00931FFC"/>
    <w:rsid w:val="00933F4B"/>
    <w:rsid w:val="009433F3"/>
    <w:rsid w:val="00953934"/>
    <w:rsid w:val="009633E1"/>
    <w:rsid w:val="00970E3C"/>
    <w:rsid w:val="00973FB9"/>
    <w:rsid w:val="00985ACB"/>
    <w:rsid w:val="00990F9D"/>
    <w:rsid w:val="00993343"/>
    <w:rsid w:val="00994A9E"/>
    <w:rsid w:val="00995A07"/>
    <w:rsid w:val="009B4E2A"/>
    <w:rsid w:val="009C1818"/>
    <w:rsid w:val="009D4D5C"/>
    <w:rsid w:val="009E2E52"/>
    <w:rsid w:val="009F284F"/>
    <w:rsid w:val="009F65FF"/>
    <w:rsid w:val="00A00F23"/>
    <w:rsid w:val="00A074B5"/>
    <w:rsid w:val="00A12BE2"/>
    <w:rsid w:val="00A253DF"/>
    <w:rsid w:val="00A2547F"/>
    <w:rsid w:val="00A34081"/>
    <w:rsid w:val="00A345C1"/>
    <w:rsid w:val="00A3668C"/>
    <w:rsid w:val="00A47AD9"/>
    <w:rsid w:val="00A6732F"/>
    <w:rsid w:val="00A67D25"/>
    <w:rsid w:val="00A8112E"/>
    <w:rsid w:val="00AA0284"/>
    <w:rsid w:val="00AA1050"/>
    <w:rsid w:val="00AA5CC4"/>
    <w:rsid w:val="00AA7CA5"/>
    <w:rsid w:val="00AC4CF7"/>
    <w:rsid w:val="00AE3916"/>
    <w:rsid w:val="00AE5147"/>
    <w:rsid w:val="00AE5F41"/>
    <w:rsid w:val="00AE60BA"/>
    <w:rsid w:val="00B25659"/>
    <w:rsid w:val="00B31C6C"/>
    <w:rsid w:val="00B353ED"/>
    <w:rsid w:val="00B40870"/>
    <w:rsid w:val="00B4558D"/>
    <w:rsid w:val="00B456FF"/>
    <w:rsid w:val="00B63E0E"/>
    <w:rsid w:val="00B97A10"/>
    <w:rsid w:val="00BA1320"/>
    <w:rsid w:val="00BB44F3"/>
    <w:rsid w:val="00BD0663"/>
    <w:rsid w:val="00BD119F"/>
    <w:rsid w:val="00BD2E64"/>
    <w:rsid w:val="00BF282B"/>
    <w:rsid w:val="00C025B9"/>
    <w:rsid w:val="00C0363D"/>
    <w:rsid w:val="00C122E0"/>
    <w:rsid w:val="00C24326"/>
    <w:rsid w:val="00C51AFC"/>
    <w:rsid w:val="00C52A05"/>
    <w:rsid w:val="00C75762"/>
    <w:rsid w:val="00C85A21"/>
    <w:rsid w:val="00C86D6A"/>
    <w:rsid w:val="00C932AC"/>
    <w:rsid w:val="00CC22A4"/>
    <w:rsid w:val="00CD33EF"/>
    <w:rsid w:val="00CE7980"/>
    <w:rsid w:val="00CF561E"/>
    <w:rsid w:val="00D10C48"/>
    <w:rsid w:val="00D1553F"/>
    <w:rsid w:val="00D21D96"/>
    <w:rsid w:val="00D22966"/>
    <w:rsid w:val="00D274A4"/>
    <w:rsid w:val="00D42008"/>
    <w:rsid w:val="00D5776E"/>
    <w:rsid w:val="00D7578A"/>
    <w:rsid w:val="00D939C5"/>
    <w:rsid w:val="00D953F6"/>
    <w:rsid w:val="00DA3FC6"/>
    <w:rsid w:val="00DA74AA"/>
    <w:rsid w:val="00DB6675"/>
    <w:rsid w:val="00DC59E4"/>
    <w:rsid w:val="00DC6E79"/>
    <w:rsid w:val="00DD29D0"/>
    <w:rsid w:val="00DE0493"/>
    <w:rsid w:val="00DF152D"/>
    <w:rsid w:val="00E02836"/>
    <w:rsid w:val="00E11731"/>
    <w:rsid w:val="00E26075"/>
    <w:rsid w:val="00E405EB"/>
    <w:rsid w:val="00E55F5D"/>
    <w:rsid w:val="00E56CEC"/>
    <w:rsid w:val="00E76085"/>
    <w:rsid w:val="00E91673"/>
    <w:rsid w:val="00E92E25"/>
    <w:rsid w:val="00EA3CBE"/>
    <w:rsid w:val="00EB4790"/>
    <w:rsid w:val="00EC0F9A"/>
    <w:rsid w:val="00EC6F65"/>
    <w:rsid w:val="00EC6F7B"/>
    <w:rsid w:val="00ED29F5"/>
    <w:rsid w:val="00EF388D"/>
    <w:rsid w:val="00EF6FE9"/>
    <w:rsid w:val="00F0176D"/>
    <w:rsid w:val="00F0229A"/>
    <w:rsid w:val="00F114EE"/>
    <w:rsid w:val="00F1629A"/>
    <w:rsid w:val="00F2573C"/>
    <w:rsid w:val="00F33735"/>
    <w:rsid w:val="00F33FA7"/>
    <w:rsid w:val="00F4117C"/>
    <w:rsid w:val="00F57801"/>
    <w:rsid w:val="00F66187"/>
    <w:rsid w:val="00F85268"/>
    <w:rsid w:val="00F93184"/>
    <w:rsid w:val="00F94DD0"/>
    <w:rsid w:val="00F96BA3"/>
    <w:rsid w:val="00FA0781"/>
    <w:rsid w:val="00FB3384"/>
    <w:rsid w:val="00FC2152"/>
    <w:rsid w:val="00FD4E78"/>
    <w:rsid w:val="00FF7FA6"/>
    <w:rsid w:val="4CFEC732"/>
    <w:rsid w:val="6CC565E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E13AAE"/>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990F9D"/>
    <w:pPr>
      <w:ind w:left="720"/>
      <w:contextualSpacing/>
    </w:pPr>
  </w:style>
  <w:style w:type="paragraph" w:styleId="Revision">
    <w:name w:val="Revision"/>
    <w:hidden/>
    <w:uiPriority w:val="99"/>
    <w:semiHidden/>
    <w:rsid w:val="002B508E"/>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11348">
      <w:bodyDiv w:val="1"/>
      <w:marLeft w:val="0"/>
      <w:marRight w:val="0"/>
      <w:marTop w:val="0"/>
      <w:marBottom w:val="0"/>
      <w:divBdr>
        <w:top w:val="none" w:sz="0" w:space="0" w:color="auto"/>
        <w:left w:val="none" w:sz="0" w:space="0" w:color="auto"/>
        <w:bottom w:val="none" w:sz="0" w:space="0" w:color="auto"/>
        <w:right w:val="none" w:sz="0" w:space="0" w:color="auto"/>
      </w:divBdr>
    </w:div>
    <w:div w:id="16810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477E15DF51C9B45B6D0CAC92CA3EB79" ma:contentTypeVersion="11" ma:contentTypeDescription="Skapa ett nytt dokument." ma:contentTypeScope="" ma:versionID="1eab30fdb0264ac165bd792cb1a1b6e8">
  <xsd:schema xmlns:xsd="http://www.w3.org/2001/XMLSchema" xmlns:xs="http://www.w3.org/2001/XMLSchema" xmlns:p="http://schemas.microsoft.com/office/2006/metadata/properties" xmlns:ns2="1a355dd0-faf0-4661-bd7e-a66bdfdc967d" xmlns:ns3="be29eca5-29b9-4264-b0e2-362598f9bf97" targetNamespace="http://schemas.microsoft.com/office/2006/metadata/properties" ma:root="true" ma:fieldsID="158cf7c83e95c84331e634a9fb58314f" ns2:_="" ns3:_="">
    <xsd:import namespace="1a355dd0-faf0-4661-bd7e-a66bdfdc967d"/>
    <xsd:import namespace="be29eca5-29b9-4264-b0e2-362598f9bf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5dd0-faf0-4661-bd7e-a66bdfdc9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eca5-29b9-4264-b0e2-362598f9bf9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1BDC5-39C7-40FE-92E0-8E3F0DC427A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e29eca5-29b9-4264-b0e2-362598f9bf97"/>
    <ds:schemaRef ds:uri="http://purl.org/dc/elements/1.1/"/>
    <ds:schemaRef ds:uri="http://schemas.microsoft.com/office/2006/metadata/properties"/>
    <ds:schemaRef ds:uri="1a355dd0-faf0-4661-bd7e-a66bdfdc967d"/>
    <ds:schemaRef ds:uri="http://www.w3.org/XML/1998/namespace"/>
  </ds:schemaRefs>
</ds:datastoreItem>
</file>

<file path=customXml/itemProps2.xml><?xml version="1.0" encoding="utf-8"?>
<ds:datastoreItem xmlns:ds="http://schemas.openxmlformats.org/officeDocument/2006/customXml" ds:itemID="{9784974E-0BED-48E3-A487-678CEBAC0C66}">
  <ds:schemaRefs>
    <ds:schemaRef ds:uri="http://schemas.openxmlformats.org/officeDocument/2006/bibliography"/>
  </ds:schemaRefs>
</ds:datastoreItem>
</file>

<file path=customXml/itemProps3.xml><?xml version="1.0" encoding="utf-8"?>
<ds:datastoreItem xmlns:ds="http://schemas.openxmlformats.org/officeDocument/2006/customXml" ds:itemID="{00408780-3DFE-40E7-86E3-FB385DC936C4}">
  <ds:schemaRefs>
    <ds:schemaRef ds:uri="http://schemas.microsoft.com/sharepoint/v3/contenttype/forms"/>
  </ds:schemaRefs>
</ds:datastoreItem>
</file>

<file path=customXml/itemProps4.xml><?xml version="1.0" encoding="utf-8"?>
<ds:datastoreItem xmlns:ds="http://schemas.openxmlformats.org/officeDocument/2006/customXml" ds:itemID="{852BD534-DF1B-4D6F-8C0E-44CDC93B3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5dd0-faf0-4661-bd7e-a66bdfdc967d"/>
    <ds:schemaRef ds:uri="be29eca5-29b9-4264-b0e2-362598f9b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6607</TotalTime>
  <Pages>2</Pages>
  <Words>490</Words>
  <Characters>2601</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program för besöksnäringens utveckling 2022–2030, remissmall</dc:title>
  <dc:subject/>
  <dc:creator>Cazuma Mori</dc:creator>
  <dc:description/>
  <cp:lastModifiedBy>Frida Hagenius</cp:lastModifiedBy>
  <cp:revision>143</cp:revision>
  <cp:lastPrinted>2019-11-08T12:17:00Z</cp:lastPrinted>
  <dcterms:created xsi:type="dcterms:W3CDTF">2021-10-06T08:31:00Z</dcterms:created>
  <dcterms:modified xsi:type="dcterms:W3CDTF">2021-11-15T15:41:00Z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3C9DF823CBF00A07C1258409002D66A6</vt:lpwstr>
  </property>
  <property fmtid="{D5CDD505-2E9C-101B-9397-08002B2CF9AE}" pid="6" name="SW_DocHWND">
    <vt:r8>922084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CN=LNGBGSR6/OU=ADB-kontoret/O=Göteborgs Kommun</vt:lpwstr>
  </property>
  <property fmtid="{D5CDD505-2E9C-101B-9397-08002B2CF9AE}" pid="16" name="SW_DocumentDB">
    <vt:lpwstr>Prod\Intraservice\LIS\Projekt\Applikat.nsf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0x0101009477E15DF51C9B45B6D0CAC92CA3EB79</vt:lpwstr>
  </property>
</Properties>
</file>