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0F686" w14:textId="77777777" w:rsidR="002F7F67" w:rsidRDefault="00D72CF0">
      <w:pPr>
        <w:pStyle w:val="Rubrik"/>
      </w:pPr>
      <w:r>
        <w:t>Extra månadsuppföljning april 2021 bolag</w:t>
      </w:r>
    </w:p>
    <w:p w14:paraId="2F6E67CB" w14:textId="77777777" w:rsidR="002F7F67" w:rsidRDefault="00D72CF0">
      <w:pPr>
        <w:pStyle w:val="Enhet"/>
      </w:pPr>
      <w:r>
        <w:t>Göteborgs Spårvägar AB</w:t>
      </w:r>
    </w:p>
    <w:p w14:paraId="3990ACEA" w14:textId="77777777" w:rsidR="002F7F67" w:rsidRDefault="00D72CF0">
      <w:pPr>
        <w:pStyle w:val="Enhet"/>
      </w:pPr>
      <w:r>
        <w:t>2021</w:t>
      </w:r>
    </w:p>
    <w:p w14:paraId="7E46627F" w14:textId="77777777" w:rsidR="002F7F67" w:rsidRDefault="00D72CF0">
      <w:r>
        <w:br w:type="page"/>
      </w:r>
    </w:p>
    <w:sdt>
      <w:sdtPr>
        <w:rPr>
          <w:rFonts w:ascii="Times New Roman" w:eastAsia="Times New Roman" w:hAnsi="Times New Roman" w:cs="Times New Roman"/>
          <w:b w:val="0"/>
          <w:bCs w:val="0"/>
          <w:color w:val="auto"/>
          <w:sz w:val="22"/>
          <w:szCs w:val="22"/>
        </w:rPr>
        <w:id w:val="-2088526558"/>
        <w:docPartObj>
          <w:docPartGallery w:val="Table of Contents"/>
          <w:docPartUnique/>
        </w:docPartObj>
      </w:sdtPr>
      <w:sdtEndPr/>
      <w:sdtContent>
        <w:p w14:paraId="6D3DAC01" w14:textId="77777777" w:rsidR="002F7F67" w:rsidRDefault="00D72CF0">
          <w:pPr>
            <w:pStyle w:val="Innehllsfrteckningsrubrik"/>
          </w:pPr>
          <w:r>
            <w:t>Innehållsförteckning</w:t>
          </w:r>
        </w:p>
        <w:p w14:paraId="71FC8497" w14:textId="77777777" w:rsidR="00DF5909" w:rsidRDefault="00D72CF0">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72825425" w:history="1">
            <w:r w:rsidR="00DF5909" w:rsidRPr="00B74AA6">
              <w:rPr>
                <w:rStyle w:val="Hyperlnk"/>
                <w:noProof/>
              </w:rPr>
              <w:t>1</w:t>
            </w:r>
            <w:r w:rsidR="00DF5909">
              <w:rPr>
                <w:rFonts w:asciiTheme="minorHAnsi" w:hAnsiTheme="minorHAnsi"/>
                <w:b w:val="0"/>
                <w:bCs w:val="0"/>
                <w:noProof/>
                <w:color w:val="auto"/>
                <w:lang w:eastAsia="sv-SE"/>
              </w:rPr>
              <w:tab/>
            </w:r>
            <w:r w:rsidR="00DF5909" w:rsidRPr="00B74AA6">
              <w:rPr>
                <w:rStyle w:val="Hyperlnk"/>
                <w:noProof/>
              </w:rPr>
              <w:t>Uppföljning av driftsbudget</w:t>
            </w:r>
            <w:r w:rsidR="00DF5909">
              <w:rPr>
                <w:noProof/>
                <w:webHidden/>
              </w:rPr>
              <w:tab/>
            </w:r>
            <w:r w:rsidR="00DF5909">
              <w:rPr>
                <w:noProof/>
                <w:webHidden/>
              </w:rPr>
              <w:fldChar w:fldCharType="begin"/>
            </w:r>
            <w:r w:rsidR="00DF5909">
              <w:rPr>
                <w:noProof/>
                <w:webHidden/>
              </w:rPr>
              <w:instrText xml:space="preserve"> PAGEREF _Toc72825425 \h </w:instrText>
            </w:r>
            <w:r w:rsidR="00DF5909">
              <w:rPr>
                <w:noProof/>
                <w:webHidden/>
              </w:rPr>
            </w:r>
            <w:r w:rsidR="00DF5909">
              <w:rPr>
                <w:noProof/>
                <w:webHidden/>
              </w:rPr>
              <w:fldChar w:fldCharType="separate"/>
            </w:r>
            <w:r w:rsidR="00DF5909">
              <w:rPr>
                <w:noProof/>
                <w:webHidden/>
              </w:rPr>
              <w:t>4</w:t>
            </w:r>
            <w:r w:rsidR="00DF5909">
              <w:rPr>
                <w:noProof/>
                <w:webHidden/>
              </w:rPr>
              <w:fldChar w:fldCharType="end"/>
            </w:r>
          </w:hyperlink>
        </w:p>
        <w:p w14:paraId="7F779A26" w14:textId="77777777" w:rsidR="00DF5909" w:rsidRDefault="00352C9E">
          <w:pPr>
            <w:pStyle w:val="Innehll2"/>
            <w:rPr>
              <w:rFonts w:asciiTheme="minorHAnsi" w:eastAsiaTheme="minorEastAsia" w:hAnsiTheme="minorHAnsi" w:cstheme="minorBidi"/>
              <w:noProof/>
              <w:color w:val="auto"/>
              <w:lang w:eastAsia="sv-SE"/>
            </w:rPr>
          </w:pPr>
          <w:hyperlink w:anchor="_Toc72825426" w:history="1">
            <w:r w:rsidR="00DF5909" w:rsidRPr="00B74AA6">
              <w:rPr>
                <w:rStyle w:val="Hyperlnk"/>
                <w:noProof/>
              </w:rPr>
              <w:t>1.1</w:t>
            </w:r>
            <w:r w:rsidR="00DF5909">
              <w:rPr>
                <w:rFonts w:asciiTheme="minorHAnsi" w:eastAsiaTheme="minorEastAsia" w:hAnsiTheme="minorHAnsi" w:cstheme="minorBidi"/>
                <w:noProof/>
                <w:color w:val="auto"/>
                <w:lang w:eastAsia="sv-SE"/>
              </w:rPr>
              <w:tab/>
            </w:r>
            <w:r w:rsidR="00DF5909" w:rsidRPr="00B74AA6">
              <w:rPr>
                <w:rStyle w:val="Hyperlnk"/>
                <w:noProof/>
              </w:rPr>
              <w:t>Utfall till och med perioden</w:t>
            </w:r>
            <w:r w:rsidR="00DF5909">
              <w:rPr>
                <w:noProof/>
                <w:webHidden/>
              </w:rPr>
              <w:tab/>
            </w:r>
            <w:r w:rsidR="00DF5909">
              <w:rPr>
                <w:noProof/>
                <w:webHidden/>
              </w:rPr>
              <w:fldChar w:fldCharType="begin"/>
            </w:r>
            <w:r w:rsidR="00DF5909">
              <w:rPr>
                <w:noProof/>
                <w:webHidden/>
              </w:rPr>
              <w:instrText xml:space="preserve"> PAGEREF _Toc72825426 \h </w:instrText>
            </w:r>
            <w:r w:rsidR="00DF5909">
              <w:rPr>
                <w:noProof/>
                <w:webHidden/>
              </w:rPr>
            </w:r>
            <w:r w:rsidR="00DF5909">
              <w:rPr>
                <w:noProof/>
                <w:webHidden/>
              </w:rPr>
              <w:fldChar w:fldCharType="separate"/>
            </w:r>
            <w:r w:rsidR="00DF5909">
              <w:rPr>
                <w:noProof/>
                <w:webHidden/>
              </w:rPr>
              <w:t>4</w:t>
            </w:r>
            <w:r w:rsidR="00DF5909">
              <w:rPr>
                <w:noProof/>
                <w:webHidden/>
              </w:rPr>
              <w:fldChar w:fldCharType="end"/>
            </w:r>
          </w:hyperlink>
        </w:p>
        <w:p w14:paraId="2A61A967" w14:textId="77777777" w:rsidR="00DF5909" w:rsidRDefault="00352C9E">
          <w:pPr>
            <w:pStyle w:val="Innehll2"/>
            <w:rPr>
              <w:rFonts w:asciiTheme="minorHAnsi" w:eastAsiaTheme="minorEastAsia" w:hAnsiTheme="minorHAnsi" w:cstheme="minorBidi"/>
              <w:noProof/>
              <w:color w:val="auto"/>
              <w:lang w:eastAsia="sv-SE"/>
            </w:rPr>
          </w:pPr>
          <w:hyperlink w:anchor="_Toc72825427" w:history="1">
            <w:r w:rsidR="00DF5909" w:rsidRPr="00B74AA6">
              <w:rPr>
                <w:rStyle w:val="Hyperlnk"/>
                <w:noProof/>
              </w:rPr>
              <w:t>1.2</w:t>
            </w:r>
            <w:r w:rsidR="00DF5909">
              <w:rPr>
                <w:rFonts w:asciiTheme="minorHAnsi" w:eastAsiaTheme="minorEastAsia" w:hAnsiTheme="minorHAnsi" w:cstheme="minorBidi"/>
                <w:noProof/>
                <w:color w:val="auto"/>
                <w:lang w:eastAsia="sv-SE"/>
              </w:rPr>
              <w:tab/>
            </w:r>
            <w:r w:rsidR="00DF5909" w:rsidRPr="00B74AA6">
              <w:rPr>
                <w:rStyle w:val="Hyperlnk"/>
                <w:noProof/>
              </w:rPr>
              <w:t>Prognos</w:t>
            </w:r>
            <w:r w:rsidR="00DF5909">
              <w:rPr>
                <w:noProof/>
                <w:webHidden/>
              </w:rPr>
              <w:tab/>
            </w:r>
            <w:r w:rsidR="00DF5909">
              <w:rPr>
                <w:noProof/>
                <w:webHidden/>
              </w:rPr>
              <w:fldChar w:fldCharType="begin"/>
            </w:r>
            <w:r w:rsidR="00DF5909">
              <w:rPr>
                <w:noProof/>
                <w:webHidden/>
              </w:rPr>
              <w:instrText xml:space="preserve"> PAGEREF _Toc72825427 \h </w:instrText>
            </w:r>
            <w:r w:rsidR="00DF5909">
              <w:rPr>
                <w:noProof/>
                <w:webHidden/>
              </w:rPr>
            </w:r>
            <w:r w:rsidR="00DF5909">
              <w:rPr>
                <w:noProof/>
                <w:webHidden/>
              </w:rPr>
              <w:fldChar w:fldCharType="separate"/>
            </w:r>
            <w:r w:rsidR="00DF5909">
              <w:rPr>
                <w:noProof/>
                <w:webHidden/>
              </w:rPr>
              <w:t>5</w:t>
            </w:r>
            <w:r w:rsidR="00DF5909">
              <w:rPr>
                <w:noProof/>
                <w:webHidden/>
              </w:rPr>
              <w:fldChar w:fldCharType="end"/>
            </w:r>
          </w:hyperlink>
        </w:p>
        <w:p w14:paraId="7FACA929" w14:textId="77777777" w:rsidR="002F7F67" w:rsidRDefault="00D72CF0">
          <w:r>
            <w:fldChar w:fldCharType="end"/>
          </w:r>
        </w:p>
      </w:sdtContent>
    </w:sdt>
    <w:p w14:paraId="1DE27472" w14:textId="77777777" w:rsidR="002F7F67" w:rsidRDefault="00D72CF0">
      <w:r>
        <w:br w:type="page"/>
      </w:r>
    </w:p>
    <w:tbl>
      <w:tblPr>
        <w:tblStyle w:val="Tabellrutnt"/>
        <w:tblOverlap w:val="never"/>
        <w:tblW w:w="0" w:type="auto"/>
        <w:tblLook w:val="04A0" w:firstRow="1" w:lastRow="0" w:firstColumn="1" w:lastColumn="0" w:noHBand="0" w:noVBand="1"/>
      </w:tblPr>
      <w:tblGrid>
        <w:gridCol w:w="7324"/>
      </w:tblGrid>
      <w:tr w:rsidR="002F7F67" w14:paraId="097EBF46" w14:textId="77777777">
        <w:trPr>
          <w:cantSplit w:val="0"/>
        </w:trPr>
        <w:tc>
          <w:tcPr>
            <w:tcW w:w="7370" w:type="dxa"/>
            <w:tcBorders>
              <w:top w:val="single" w:sz="18" w:space="0" w:color="D1E6F0"/>
              <w:left w:val="single" w:sz="18" w:space="0" w:color="D1E6F0"/>
              <w:bottom w:val="single" w:sz="18" w:space="0" w:color="D1E6F0"/>
              <w:right w:val="single" w:sz="18" w:space="0" w:color="D1E6F0"/>
            </w:tcBorders>
            <w:shd w:val="clear" w:color="auto" w:fill="EDF5F9"/>
          </w:tcPr>
          <w:p w14:paraId="1399F848" w14:textId="77777777" w:rsidR="002F7F67" w:rsidRDefault="00D72CF0">
            <w:pPr>
              <w:pStyle w:val="BodyText"/>
              <w:widowControl w:val="0"/>
            </w:pPr>
            <w:r>
              <w:rPr>
                <w:b/>
              </w:rPr>
              <w:lastRenderedPageBreak/>
              <w:t>Anvisning</w:t>
            </w:r>
            <w:r>
              <w:br/>
            </w:r>
          </w:p>
          <w:p w14:paraId="14D6A4D8" w14:textId="77777777" w:rsidR="002F7F67" w:rsidRDefault="00D72CF0">
            <w:pPr>
              <w:pStyle w:val="BodyText"/>
              <w:widowControl w:val="0"/>
            </w:pPr>
            <w:r>
              <w:t>Kommunstyrelsen beslutade 10 februari att fortsätta den månatliga uppföljningen av samtliga nämnders och styrelsers driftbudgetar.</w:t>
            </w:r>
          </w:p>
        </w:tc>
      </w:tr>
    </w:tbl>
    <w:p w14:paraId="5E7C9ADF" w14:textId="77777777" w:rsidR="002F7F67" w:rsidRDefault="00D72CF0">
      <w:r>
        <w:br w:type="page"/>
      </w:r>
    </w:p>
    <w:p w14:paraId="6D4E50EC" w14:textId="77777777" w:rsidR="002F7F67" w:rsidRDefault="00D72CF0">
      <w:pPr>
        <w:pStyle w:val="Rubrik1-Sidbryt"/>
      </w:pPr>
      <w:bookmarkStart w:id="0" w:name="_Toc72825425"/>
      <w:r>
        <w:lastRenderedPageBreak/>
        <w:t>Uppföljning av driftsbudget</w:t>
      </w:r>
      <w:bookmarkEnd w:id="0"/>
    </w:p>
    <w:p w14:paraId="70836DDC" w14:textId="77777777" w:rsidR="002F7F67" w:rsidRDefault="00D72CF0">
      <w:pPr>
        <w:pStyle w:val="Tabellrubrik"/>
      </w:pPr>
      <w:r>
        <w:t>Resultatredovisning i sammandrag</w:t>
      </w:r>
    </w:p>
    <w:p w14:paraId="6B56020F" w14:textId="77777777" w:rsidR="002F7F67" w:rsidRDefault="002F7F67">
      <w:pPr>
        <w:pStyle w:val="BodyText"/>
      </w:pPr>
    </w:p>
    <w:tbl>
      <w:tblPr>
        <w:tblStyle w:val="Tabellrutnt"/>
        <w:tblOverlap w:val="never"/>
        <w:tblW w:w="7508" w:type="dxa"/>
        <w:tblLayout w:type="fixed"/>
        <w:tblLook w:val="04A0" w:firstRow="1" w:lastRow="0" w:firstColumn="1" w:lastColumn="0" w:noHBand="0" w:noVBand="1"/>
      </w:tblPr>
      <w:tblGrid>
        <w:gridCol w:w="1295"/>
        <w:gridCol w:w="747"/>
        <w:gridCol w:w="747"/>
        <w:gridCol w:w="697"/>
        <w:gridCol w:w="747"/>
        <w:gridCol w:w="797"/>
        <w:gridCol w:w="797"/>
        <w:gridCol w:w="747"/>
        <w:gridCol w:w="934"/>
      </w:tblGrid>
      <w:tr w:rsidR="002F7F67" w14:paraId="3D46BCA6" w14:textId="77777777" w:rsidTr="00C56B17">
        <w:trPr>
          <w:cantSplit w:val="0"/>
        </w:trPr>
        <w:tc>
          <w:tcPr>
            <w:tcW w:w="1295" w:type="dxa"/>
            <w:tcBorders>
              <w:top w:val="single" w:sz="4" w:space="0" w:color="auto"/>
              <w:left w:val="single" w:sz="4" w:space="0" w:color="auto"/>
              <w:bottom w:val="nil"/>
              <w:right w:val="nil"/>
            </w:tcBorders>
            <w:shd w:val="clear" w:color="auto" w:fill="E5E5E5"/>
            <w:vAlign w:val="center"/>
          </w:tcPr>
          <w:p w14:paraId="5D99FBAD" w14:textId="77777777" w:rsidR="002F7F67" w:rsidRDefault="00D72CF0">
            <w:pPr>
              <w:pStyle w:val="Tabellcell"/>
            </w:pPr>
            <w:r>
              <w:rPr>
                <w:b/>
              </w:rPr>
              <w:t>Tkr</w:t>
            </w:r>
          </w:p>
        </w:tc>
        <w:tc>
          <w:tcPr>
            <w:tcW w:w="2938" w:type="dxa"/>
            <w:gridSpan w:val="4"/>
            <w:tcBorders>
              <w:top w:val="single" w:sz="4" w:space="0" w:color="auto"/>
              <w:left w:val="nil"/>
              <w:bottom w:val="single" w:sz="4" w:space="0" w:color="auto"/>
              <w:right w:val="nil"/>
            </w:tcBorders>
            <w:shd w:val="clear" w:color="auto" w:fill="E5E5E5"/>
            <w:vAlign w:val="bottom"/>
          </w:tcPr>
          <w:p w14:paraId="7758F562" w14:textId="77777777" w:rsidR="002F7F67" w:rsidRDefault="00D72CF0">
            <w:pPr>
              <w:pStyle w:val="Tabellcell"/>
            </w:pPr>
            <w:r>
              <w:rPr>
                <w:b/>
              </w:rPr>
              <w:t>Period</w:t>
            </w:r>
          </w:p>
        </w:tc>
        <w:tc>
          <w:tcPr>
            <w:tcW w:w="3275" w:type="dxa"/>
            <w:gridSpan w:val="4"/>
            <w:tcBorders>
              <w:top w:val="single" w:sz="4" w:space="0" w:color="auto"/>
              <w:left w:val="nil"/>
              <w:bottom w:val="single" w:sz="4" w:space="0" w:color="auto"/>
              <w:right w:val="nil"/>
            </w:tcBorders>
            <w:shd w:val="clear" w:color="auto" w:fill="B4B4B4"/>
            <w:vAlign w:val="bottom"/>
          </w:tcPr>
          <w:p w14:paraId="2ACAB321" w14:textId="77777777" w:rsidR="002F7F67" w:rsidRDefault="00D72CF0">
            <w:pPr>
              <w:pStyle w:val="Tabellcell"/>
            </w:pPr>
            <w:r>
              <w:rPr>
                <w:b/>
              </w:rPr>
              <w:t>Helår</w:t>
            </w:r>
          </w:p>
        </w:tc>
      </w:tr>
      <w:tr w:rsidR="002F7F67" w14:paraId="1F5015F9" w14:textId="77777777" w:rsidTr="00C56B17">
        <w:trPr>
          <w:cantSplit w:val="0"/>
        </w:trPr>
        <w:tc>
          <w:tcPr>
            <w:tcW w:w="1295" w:type="dxa"/>
            <w:tcBorders>
              <w:top w:val="nil"/>
              <w:left w:val="single" w:sz="4" w:space="0" w:color="auto"/>
              <w:bottom w:val="single" w:sz="18" w:space="0" w:color="auto"/>
              <w:right w:val="nil"/>
            </w:tcBorders>
            <w:shd w:val="clear" w:color="auto" w:fill="E5E5E5"/>
            <w:tcMar>
              <w:top w:w="0" w:type="dxa"/>
              <w:left w:w="0" w:type="dxa"/>
              <w:bottom w:w="0" w:type="dxa"/>
              <w:right w:w="0" w:type="dxa"/>
            </w:tcMar>
            <w:vAlign w:val="center"/>
          </w:tcPr>
          <w:p w14:paraId="5DC006F7" w14:textId="77777777" w:rsidR="002F7F67" w:rsidRDefault="002F7F67">
            <w:pPr>
              <w:pStyle w:val="Tabellcell"/>
            </w:pPr>
          </w:p>
        </w:tc>
        <w:tc>
          <w:tcPr>
            <w:tcW w:w="747" w:type="dxa"/>
            <w:tcBorders>
              <w:top w:val="single" w:sz="4" w:space="0" w:color="auto"/>
              <w:left w:val="nil"/>
              <w:bottom w:val="single" w:sz="18" w:space="0" w:color="auto"/>
              <w:right w:val="nil"/>
            </w:tcBorders>
            <w:shd w:val="clear" w:color="auto" w:fill="E5E5E5"/>
            <w:vAlign w:val="center"/>
          </w:tcPr>
          <w:p w14:paraId="2AD829B1" w14:textId="77777777" w:rsidR="002F7F67" w:rsidRDefault="00D72CF0">
            <w:pPr>
              <w:pStyle w:val="Tabellcell"/>
              <w:jc w:val="center"/>
            </w:pPr>
            <w:r>
              <w:t>Utfall</w:t>
            </w:r>
          </w:p>
        </w:tc>
        <w:tc>
          <w:tcPr>
            <w:tcW w:w="747" w:type="dxa"/>
            <w:tcBorders>
              <w:top w:val="single" w:sz="4" w:space="0" w:color="auto"/>
              <w:left w:val="nil"/>
              <w:bottom w:val="single" w:sz="18" w:space="0" w:color="auto"/>
              <w:right w:val="nil"/>
            </w:tcBorders>
            <w:shd w:val="clear" w:color="auto" w:fill="E5E5E5"/>
            <w:vAlign w:val="center"/>
          </w:tcPr>
          <w:p w14:paraId="41C43DB9" w14:textId="77777777" w:rsidR="002F7F67" w:rsidRDefault="00D72CF0">
            <w:pPr>
              <w:pStyle w:val="Tabellcell"/>
              <w:jc w:val="center"/>
            </w:pPr>
            <w:r>
              <w:t>Budget</w:t>
            </w:r>
          </w:p>
        </w:tc>
        <w:tc>
          <w:tcPr>
            <w:tcW w:w="697" w:type="dxa"/>
            <w:tcBorders>
              <w:top w:val="single" w:sz="4" w:space="0" w:color="auto"/>
              <w:left w:val="nil"/>
              <w:bottom w:val="single" w:sz="18" w:space="0" w:color="auto"/>
              <w:right w:val="nil"/>
            </w:tcBorders>
            <w:shd w:val="clear" w:color="auto" w:fill="E5E5E5"/>
            <w:vAlign w:val="center"/>
          </w:tcPr>
          <w:p w14:paraId="2080B48E" w14:textId="77777777" w:rsidR="002F7F67" w:rsidRDefault="00D72CF0">
            <w:pPr>
              <w:pStyle w:val="Tabellcell"/>
              <w:jc w:val="center"/>
            </w:pPr>
            <w:r>
              <w:t>Avvikelse</w:t>
            </w:r>
          </w:p>
        </w:tc>
        <w:tc>
          <w:tcPr>
            <w:tcW w:w="747" w:type="dxa"/>
            <w:tcBorders>
              <w:top w:val="single" w:sz="4" w:space="0" w:color="auto"/>
              <w:left w:val="nil"/>
              <w:bottom w:val="single" w:sz="18" w:space="0" w:color="auto"/>
              <w:right w:val="nil"/>
            </w:tcBorders>
            <w:shd w:val="clear" w:color="auto" w:fill="E5E5E5"/>
            <w:vAlign w:val="center"/>
          </w:tcPr>
          <w:p w14:paraId="049B76F8" w14:textId="77777777" w:rsidR="002F7F67" w:rsidRDefault="00D72CF0">
            <w:pPr>
              <w:pStyle w:val="Tabellcell"/>
              <w:jc w:val="center"/>
            </w:pPr>
            <w:r>
              <w:t xml:space="preserve">Utfall </w:t>
            </w:r>
            <w:proofErr w:type="spellStart"/>
            <w:r>
              <w:t>fg</w:t>
            </w:r>
            <w:proofErr w:type="spellEnd"/>
            <w:r>
              <w:t xml:space="preserve"> år</w:t>
            </w:r>
          </w:p>
        </w:tc>
        <w:tc>
          <w:tcPr>
            <w:tcW w:w="797" w:type="dxa"/>
            <w:tcBorders>
              <w:top w:val="single" w:sz="4" w:space="0" w:color="auto"/>
              <w:left w:val="nil"/>
              <w:bottom w:val="single" w:sz="18" w:space="0" w:color="auto"/>
              <w:right w:val="nil"/>
            </w:tcBorders>
            <w:shd w:val="clear" w:color="auto" w:fill="B4B4B4"/>
            <w:vAlign w:val="center"/>
          </w:tcPr>
          <w:p w14:paraId="5B2FB13A" w14:textId="77777777" w:rsidR="002F7F67" w:rsidRDefault="00D72CF0">
            <w:pPr>
              <w:pStyle w:val="Tabellcell"/>
              <w:jc w:val="center"/>
            </w:pPr>
            <w:r>
              <w:t>Prognos</w:t>
            </w:r>
          </w:p>
        </w:tc>
        <w:tc>
          <w:tcPr>
            <w:tcW w:w="797" w:type="dxa"/>
            <w:tcBorders>
              <w:top w:val="single" w:sz="4" w:space="0" w:color="auto"/>
              <w:left w:val="nil"/>
              <w:bottom w:val="single" w:sz="18" w:space="0" w:color="auto"/>
              <w:right w:val="nil"/>
            </w:tcBorders>
            <w:shd w:val="clear" w:color="auto" w:fill="B4B4B4"/>
            <w:vAlign w:val="center"/>
          </w:tcPr>
          <w:p w14:paraId="4FAEF38F" w14:textId="77777777" w:rsidR="002F7F67" w:rsidRDefault="00D72CF0">
            <w:pPr>
              <w:pStyle w:val="Tabellcell"/>
              <w:jc w:val="center"/>
            </w:pPr>
            <w:proofErr w:type="spellStart"/>
            <w:r>
              <w:t>Fg</w:t>
            </w:r>
            <w:proofErr w:type="spellEnd"/>
            <w:r>
              <w:t xml:space="preserve"> prognos</w:t>
            </w:r>
          </w:p>
        </w:tc>
        <w:tc>
          <w:tcPr>
            <w:tcW w:w="747" w:type="dxa"/>
            <w:tcBorders>
              <w:top w:val="single" w:sz="4" w:space="0" w:color="auto"/>
              <w:left w:val="nil"/>
              <w:bottom w:val="single" w:sz="18" w:space="0" w:color="auto"/>
              <w:right w:val="nil"/>
            </w:tcBorders>
            <w:shd w:val="clear" w:color="auto" w:fill="B4B4B4"/>
            <w:vAlign w:val="center"/>
          </w:tcPr>
          <w:p w14:paraId="05C28799" w14:textId="77777777" w:rsidR="002F7F67" w:rsidRDefault="00D72CF0">
            <w:pPr>
              <w:pStyle w:val="Tabellcell"/>
              <w:jc w:val="center"/>
            </w:pPr>
            <w:r>
              <w:t>Budget</w:t>
            </w:r>
          </w:p>
        </w:tc>
        <w:tc>
          <w:tcPr>
            <w:tcW w:w="934" w:type="dxa"/>
            <w:tcBorders>
              <w:top w:val="single" w:sz="4" w:space="0" w:color="auto"/>
              <w:left w:val="nil"/>
              <w:bottom w:val="single" w:sz="18" w:space="0" w:color="auto"/>
              <w:right w:val="single" w:sz="4" w:space="0" w:color="auto"/>
            </w:tcBorders>
            <w:shd w:val="clear" w:color="auto" w:fill="B4B4B4"/>
            <w:vAlign w:val="center"/>
          </w:tcPr>
          <w:p w14:paraId="12D8B979" w14:textId="77777777" w:rsidR="002F7F67" w:rsidRDefault="00D72CF0">
            <w:pPr>
              <w:pStyle w:val="Tabellcell"/>
              <w:jc w:val="center"/>
            </w:pPr>
            <w:r>
              <w:t xml:space="preserve">Bokslut </w:t>
            </w:r>
            <w:proofErr w:type="spellStart"/>
            <w:r>
              <w:t>fg</w:t>
            </w:r>
            <w:proofErr w:type="spellEnd"/>
            <w:r>
              <w:t xml:space="preserve"> år</w:t>
            </w:r>
          </w:p>
        </w:tc>
      </w:tr>
      <w:tr w:rsidR="002F7F67" w14:paraId="5176CA83" w14:textId="77777777" w:rsidTr="00C56B17">
        <w:trPr>
          <w:cantSplit w:val="0"/>
        </w:trPr>
        <w:tc>
          <w:tcPr>
            <w:tcW w:w="1295" w:type="dxa"/>
            <w:tcBorders>
              <w:top w:val="single" w:sz="18" w:space="0" w:color="auto"/>
              <w:left w:val="single" w:sz="4" w:space="0" w:color="auto"/>
              <w:bottom w:val="single" w:sz="4" w:space="0" w:color="auto"/>
              <w:right w:val="single" w:sz="4" w:space="0" w:color="auto"/>
            </w:tcBorders>
            <w:shd w:val="clear" w:color="auto" w:fill="FFFFFF"/>
            <w:vAlign w:val="center"/>
          </w:tcPr>
          <w:p w14:paraId="5E67C214" w14:textId="77777777" w:rsidR="002F7F67" w:rsidRDefault="00D72CF0">
            <w:pPr>
              <w:pStyle w:val="Tabellcell"/>
            </w:pPr>
            <w:r>
              <w:t>Intäkter</w:t>
            </w:r>
          </w:p>
        </w:tc>
        <w:tc>
          <w:tcPr>
            <w:tcW w:w="747" w:type="dxa"/>
            <w:tcBorders>
              <w:top w:val="single" w:sz="18" w:space="0" w:color="auto"/>
              <w:left w:val="single" w:sz="4" w:space="0" w:color="auto"/>
              <w:bottom w:val="single" w:sz="4" w:space="0" w:color="auto"/>
              <w:right w:val="single" w:sz="4" w:space="0" w:color="auto"/>
            </w:tcBorders>
            <w:shd w:val="clear" w:color="auto" w:fill="FFFFFF"/>
            <w:vAlign w:val="center"/>
          </w:tcPr>
          <w:p w14:paraId="4D8D6430" w14:textId="77777777" w:rsidR="002F7F67" w:rsidRDefault="00D72CF0">
            <w:pPr>
              <w:pStyle w:val="Tabellcell"/>
              <w:jc w:val="right"/>
            </w:pPr>
            <w:r>
              <w:t>386 098</w:t>
            </w:r>
          </w:p>
        </w:tc>
        <w:tc>
          <w:tcPr>
            <w:tcW w:w="747" w:type="dxa"/>
            <w:tcBorders>
              <w:top w:val="single" w:sz="18" w:space="0" w:color="auto"/>
              <w:left w:val="single" w:sz="4" w:space="0" w:color="auto"/>
              <w:bottom w:val="single" w:sz="4" w:space="0" w:color="auto"/>
              <w:right w:val="single" w:sz="4" w:space="0" w:color="auto"/>
            </w:tcBorders>
            <w:shd w:val="clear" w:color="auto" w:fill="FFFFFF"/>
            <w:vAlign w:val="center"/>
          </w:tcPr>
          <w:p w14:paraId="444966FF" w14:textId="77777777" w:rsidR="002F7F67" w:rsidRDefault="00D72CF0">
            <w:pPr>
              <w:pStyle w:val="Tabellcell"/>
              <w:jc w:val="right"/>
            </w:pPr>
            <w:r>
              <w:t>387 949</w:t>
            </w:r>
          </w:p>
        </w:tc>
        <w:tc>
          <w:tcPr>
            <w:tcW w:w="697" w:type="dxa"/>
            <w:tcBorders>
              <w:top w:val="single" w:sz="18" w:space="0" w:color="auto"/>
              <w:left w:val="single" w:sz="4" w:space="0" w:color="auto"/>
              <w:bottom w:val="single" w:sz="4" w:space="0" w:color="auto"/>
              <w:right w:val="single" w:sz="4" w:space="0" w:color="auto"/>
            </w:tcBorders>
            <w:shd w:val="clear" w:color="auto" w:fill="FFFFFF"/>
            <w:vAlign w:val="center"/>
          </w:tcPr>
          <w:p w14:paraId="4F010B25" w14:textId="77777777" w:rsidR="002F7F67" w:rsidRDefault="00D72CF0">
            <w:pPr>
              <w:pStyle w:val="Tabellcell"/>
              <w:jc w:val="right"/>
            </w:pPr>
            <w:r>
              <w:t>-1 851</w:t>
            </w:r>
          </w:p>
        </w:tc>
        <w:tc>
          <w:tcPr>
            <w:tcW w:w="747" w:type="dxa"/>
            <w:tcBorders>
              <w:top w:val="single" w:sz="18" w:space="0" w:color="auto"/>
              <w:left w:val="single" w:sz="4" w:space="0" w:color="auto"/>
              <w:bottom w:val="single" w:sz="4" w:space="0" w:color="auto"/>
              <w:right w:val="single" w:sz="4" w:space="0" w:color="auto"/>
            </w:tcBorders>
            <w:shd w:val="clear" w:color="auto" w:fill="FFFFFF"/>
            <w:vAlign w:val="center"/>
          </w:tcPr>
          <w:p w14:paraId="7615615B" w14:textId="77777777" w:rsidR="002F7F67" w:rsidRDefault="00D72CF0">
            <w:pPr>
              <w:pStyle w:val="Tabellcell"/>
              <w:jc w:val="right"/>
            </w:pPr>
            <w:r>
              <w:t>386 425</w:t>
            </w:r>
          </w:p>
        </w:tc>
        <w:tc>
          <w:tcPr>
            <w:tcW w:w="797" w:type="dxa"/>
            <w:tcBorders>
              <w:top w:val="single" w:sz="18" w:space="0" w:color="auto"/>
              <w:left w:val="single" w:sz="4" w:space="0" w:color="auto"/>
              <w:bottom w:val="single" w:sz="4" w:space="0" w:color="auto"/>
              <w:right w:val="single" w:sz="4" w:space="0" w:color="auto"/>
            </w:tcBorders>
            <w:shd w:val="clear" w:color="auto" w:fill="FFFFFF"/>
            <w:vAlign w:val="center"/>
          </w:tcPr>
          <w:p w14:paraId="2D44D4E0" w14:textId="77777777" w:rsidR="002F7F67" w:rsidRDefault="00D72CF0">
            <w:pPr>
              <w:pStyle w:val="Tabellcell"/>
              <w:jc w:val="right"/>
            </w:pPr>
            <w:r>
              <w:t>1 171 061</w:t>
            </w:r>
          </w:p>
        </w:tc>
        <w:tc>
          <w:tcPr>
            <w:tcW w:w="797" w:type="dxa"/>
            <w:tcBorders>
              <w:top w:val="single" w:sz="18" w:space="0" w:color="auto"/>
              <w:left w:val="single" w:sz="4" w:space="0" w:color="auto"/>
              <w:bottom w:val="single" w:sz="4" w:space="0" w:color="auto"/>
              <w:right w:val="single" w:sz="4" w:space="0" w:color="auto"/>
            </w:tcBorders>
            <w:shd w:val="clear" w:color="auto" w:fill="FFFFFF"/>
            <w:vAlign w:val="center"/>
          </w:tcPr>
          <w:p w14:paraId="44A74FBF" w14:textId="77777777" w:rsidR="002F7F67" w:rsidRDefault="00D72CF0">
            <w:pPr>
              <w:pStyle w:val="Tabellcell"/>
              <w:jc w:val="right"/>
            </w:pPr>
            <w:r>
              <w:t>1 171 062</w:t>
            </w:r>
          </w:p>
        </w:tc>
        <w:tc>
          <w:tcPr>
            <w:tcW w:w="747" w:type="dxa"/>
            <w:tcBorders>
              <w:top w:val="single" w:sz="18" w:space="0" w:color="auto"/>
              <w:left w:val="single" w:sz="4" w:space="0" w:color="auto"/>
              <w:bottom w:val="single" w:sz="4" w:space="0" w:color="auto"/>
              <w:right w:val="single" w:sz="4" w:space="0" w:color="auto"/>
            </w:tcBorders>
            <w:shd w:val="clear" w:color="auto" w:fill="FFFFFF"/>
            <w:vAlign w:val="center"/>
          </w:tcPr>
          <w:p w14:paraId="61AB18F8" w14:textId="77777777" w:rsidR="002F7F67" w:rsidRDefault="00D72CF0">
            <w:pPr>
              <w:pStyle w:val="Tabellcell"/>
              <w:jc w:val="right"/>
            </w:pPr>
            <w:r>
              <w:t>1 130 886</w:t>
            </w:r>
          </w:p>
        </w:tc>
        <w:tc>
          <w:tcPr>
            <w:tcW w:w="934" w:type="dxa"/>
            <w:tcBorders>
              <w:top w:val="single" w:sz="18" w:space="0" w:color="auto"/>
              <w:left w:val="single" w:sz="4" w:space="0" w:color="auto"/>
              <w:bottom w:val="single" w:sz="4" w:space="0" w:color="auto"/>
              <w:right w:val="single" w:sz="4" w:space="0" w:color="auto"/>
            </w:tcBorders>
            <w:shd w:val="clear" w:color="auto" w:fill="FFFFFF"/>
            <w:vAlign w:val="center"/>
          </w:tcPr>
          <w:p w14:paraId="7BE9BFFA" w14:textId="77777777" w:rsidR="002F7F67" w:rsidRDefault="00D72CF0">
            <w:pPr>
              <w:pStyle w:val="Tabellcell"/>
              <w:jc w:val="right"/>
            </w:pPr>
            <w:r>
              <w:t>1 159 409</w:t>
            </w:r>
          </w:p>
        </w:tc>
      </w:tr>
      <w:tr w:rsidR="002F7F67" w14:paraId="29052844" w14:textId="77777777" w:rsidTr="00C56B17">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5543E49F" w14:textId="77777777" w:rsidR="002F7F67" w:rsidRDefault="00D72CF0">
            <w:pPr>
              <w:pStyle w:val="Tabellcell"/>
            </w:pPr>
            <w:r>
              <w:t>Kostnader</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28A68A38" w14:textId="77777777" w:rsidR="002F7F67" w:rsidRDefault="00D72CF0">
            <w:pPr>
              <w:pStyle w:val="Tabellcell"/>
              <w:jc w:val="right"/>
            </w:pPr>
            <w:r>
              <w:t>-407 080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181153BF" w14:textId="77777777" w:rsidR="002F7F67" w:rsidRDefault="00D72CF0">
            <w:pPr>
              <w:pStyle w:val="Tabellcell"/>
              <w:jc w:val="right"/>
            </w:pPr>
            <w:r>
              <w:t>-383 686</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6BC69236" w14:textId="77777777" w:rsidR="002F7F67" w:rsidRDefault="00D72CF0">
            <w:pPr>
              <w:pStyle w:val="Tabellcell"/>
              <w:jc w:val="right"/>
            </w:pPr>
            <w:r>
              <w:t>-23 394</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3BE41AED" w14:textId="77777777" w:rsidR="002F7F67" w:rsidRDefault="00D72CF0">
            <w:pPr>
              <w:pStyle w:val="Tabellcell"/>
              <w:jc w:val="right"/>
            </w:pPr>
            <w:r>
              <w:t>-372 092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38E9D2EF" w14:textId="77777777" w:rsidR="002F7F67" w:rsidRDefault="00D72CF0">
            <w:pPr>
              <w:pStyle w:val="Tabellcell"/>
              <w:jc w:val="right"/>
            </w:pPr>
            <w:r>
              <w:t>-1 171 061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7D4DF6AF" w14:textId="77777777" w:rsidR="002F7F67" w:rsidRDefault="00D72CF0">
            <w:pPr>
              <w:pStyle w:val="Tabellcell"/>
              <w:jc w:val="right"/>
            </w:pPr>
            <w:r>
              <w:t>-1 170 332</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32FD8BF0" w14:textId="77777777" w:rsidR="002F7F67" w:rsidRDefault="00D72CF0">
            <w:pPr>
              <w:pStyle w:val="Tabellcell"/>
              <w:jc w:val="right"/>
            </w:pPr>
            <w:r>
              <w:t>-1 129 356</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43EE5379" w14:textId="77777777" w:rsidR="002F7F67" w:rsidRDefault="00D72CF0">
            <w:pPr>
              <w:pStyle w:val="Tabellcell"/>
              <w:jc w:val="right"/>
            </w:pPr>
            <w:r>
              <w:t>-1 159 499</w:t>
            </w:r>
          </w:p>
        </w:tc>
      </w:tr>
      <w:tr w:rsidR="002F7F67" w14:paraId="412B6D53" w14:textId="77777777" w:rsidTr="00C56B17">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45E69457" w14:textId="77777777" w:rsidR="002F7F67" w:rsidRDefault="00D72CF0">
            <w:pPr>
              <w:pStyle w:val="Tabellcell"/>
            </w:pPr>
            <w:r>
              <w:rPr>
                <w:b/>
              </w:rPr>
              <w:t>Rörelseresultat</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39D5AD11" w14:textId="77777777" w:rsidR="002F7F67" w:rsidRDefault="00D72CF0">
            <w:pPr>
              <w:pStyle w:val="Tabellcell"/>
              <w:jc w:val="right"/>
            </w:pPr>
            <w:r>
              <w:t>-20 982</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555D2863" w14:textId="77777777" w:rsidR="002F7F67" w:rsidRDefault="00D72CF0">
            <w:pPr>
              <w:pStyle w:val="Tabellcell"/>
              <w:jc w:val="right"/>
            </w:pPr>
            <w:r>
              <w:t>4 263</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71E3352E" w14:textId="77777777" w:rsidR="002F7F67" w:rsidRDefault="00D72CF0">
            <w:pPr>
              <w:pStyle w:val="Tabellcell"/>
              <w:jc w:val="right"/>
            </w:pPr>
            <w:r>
              <w:t>-25 245</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347C1009" w14:textId="77777777" w:rsidR="002F7F67" w:rsidRDefault="00D72CF0">
            <w:pPr>
              <w:pStyle w:val="Tabellcell"/>
              <w:jc w:val="right"/>
            </w:pPr>
            <w:r>
              <w:t>14 333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167FF985" w14:textId="77777777" w:rsidR="002F7F67" w:rsidRDefault="00D72CF0">
            <w:pPr>
              <w:pStyle w:val="Tabellcell"/>
              <w:jc w:val="right"/>
            </w:pPr>
            <w:r>
              <w:t>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46942B66" w14:textId="77777777" w:rsidR="002F7F67" w:rsidRDefault="00D72CF0">
            <w:pPr>
              <w:pStyle w:val="Tabellcell"/>
              <w:jc w:val="right"/>
            </w:pPr>
            <w:r>
              <w:t>730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3D51B7DB" w14:textId="77777777" w:rsidR="002F7F67" w:rsidRDefault="00D72CF0">
            <w:pPr>
              <w:pStyle w:val="Tabellcell"/>
              <w:jc w:val="right"/>
            </w:pPr>
            <w:r>
              <w:t>1 530</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03071132" w14:textId="77777777" w:rsidR="002F7F67" w:rsidRDefault="00D72CF0">
            <w:pPr>
              <w:pStyle w:val="Tabellcell"/>
              <w:jc w:val="right"/>
            </w:pPr>
            <w:r>
              <w:t>-91</w:t>
            </w:r>
          </w:p>
        </w:tc>
      </w:tr>
      <w:tr w:rsidR="002F7F67" w14:paraId="6A6040FA" w14:textId="77777777" w:rsidTr="00C56B17">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3A0DF1E8" w14:textId="77777777" w:rsidR="002F7F67" w:rsidRDefault="00D72CF0">
            <w:pPr>
              <w:pStyle w:val="Tabellcell"/>
            </w:pPr>
            <w:r>
              <w:t>Finansiella intäkter</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44061936" w14:textId="77777777" w:rsidR="002F7F67" w:rsidRDefault="00D72CF0">
            <w:pPr>
              <w:pStyle w:val="Tabellcell"/>
              <w:jc w:val="right"/>
            </w:pPr>
            <w:r>
              <w:rPr>
                <w:b/>
              </w:rPr>
              <w:t>164</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390214D8" w14:textId="77777777" w:rsidR="002F7F67" w:rsidRDefault="00D72CF0">
            <w:pPr>
              <w:pStyle w:val="Tabellcell"/>
              <w:jc w:val="right"/>
            </w:pPr>
            <w:r>
              <w:rPr>
                <w:b/>
              </w:rPr>
              <w:t>83</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1FE66F59" w14:textId="77777777" w:rsidR="002F7F67" w:rsidRDefault="00D72CF0">
            <w:pPr>
              <w:pStyle w:val="Tabellcell"/>
              <w:jc w:val="right"/>
            </w:pPr>
            <w:r>
              <w:rPr>
                <w:b/>
              </w:rPr>
              <w:t>81</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664A6ABE" w14:textId="77777777" w:rsidR="002F7F67" w:rsidRDefault="00D72CF0">
            <w:pPr>
              <w:pStyle w:val="Tabellcell"/>
              <w:jc w:val="right"/>
            </w:pPr>
            <w:r>
              <w:rPr>
                <w:b/>
              </w:rPr>
              <w:t>143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4FEDEAD1" w14:textId="77777777" w:rsidR="002F7F67" w:rsidRDefault="00D72CF0">
            <w:pPr>
              <w:pStyle w:val="Tabellcell"/>
              <w:jc w:val="right"/>
            </w:pPr>
            <w:r>
              <w:rPr>
                <w:b/>
              </w:rPr>
              <w:t>250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75562E10" w14:textId="77777777" w:rsidR="002F7F67" w:rsidRDefault="00D72CF0">
            <w:pPr>
              <w:pStyle w:val="Tabellcell"/>
              <w:jc w:val="right"/>
            </w:pPr>
            <w:r>
              <w:rPr>
                <w:b/>
              </w:rPr>
              <w:t>250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0632095D" w14:textId="77777777" w:rsidR="002F7F67" w:rsidRDefault="00D72CF0">
            <w:pPr>
              <w:pStyle w:val="Tabellcell"/>
              <w:jc w:val="right"/>
            </w:pPr>
            <w:r>
              <w:rPr>
                <w:b/>
              </w:rPr>
              <w:t>250</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489DD77A" w14:textId="77777777" w:rsidR="002F7F67" w:rsidRDefault="00D72CF0">
            <w:pPr>
              <w:pStyle w:val="Tabellcell"/>
              <w:jc w:val="right"/>
            </w:pPr>
            <w:r>
              <w:rPr>
                <w:b/>
              </w:rPr>
              <w:t>532</w:t>
            </w:r>
          </w:p>
        </w:tc>
      </w:tr>
      <w:tr w:rsidR="002F7F67" w14:paraId="46BD06F7" w14:textId="77777777" w:rsidTr="00C56B17">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09A9B8F9" w14:textId="77777777" w:rsidR="002F7F67" w:rsidRDefault="00D72CF0">
            <w:pPr>
              <w:pStyle w:val="Tabellcell"/>
            </w:pPr>
            <w:r>
              <w:t>Finansiella kostnader</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4F29EF7D" w14:textId="77777777" w:rsidR="002F7F67" w:rsidRDefault="00D72CF0">
            <w:pPr>
              <w:pStyle w:val="Tabellcell"/>
              <w:jc w:val="right"/>
            </w:pPr>
            <w:r>
              <w:rPr>
                <w:b/>
              </w:rPr>
              <w:t>-13</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16D56FBF" w14:textId="77777777" w:rsidR="002F7F67" w:rsidRDefault="00D72CF0">
            <w:pPr>
              <w:pStyle w:val="Tabellcell"/>
              <w:jc w:val="right"/>
            </w:pPr>
            <w:r>
              <w:rPr>
                <w:b/>
              </w:rPr>
              <w:t>-7</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152CA3FE" w14:textId="77777777" w:rsidR="002F7F67" w:rsidRDefault="00D72CF0">
            <w:pPr>
              <w:pStyle w:val="Tabellcell"/>
              <w:jc w:val="right"/>
            </w:pPr>
            <w:r>
              <w:rPr>
                <w:b/>
              </w:rPr>
              <w:t>-6</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6C9C0430" w14:textId="77777777" w:rsidR="002F7F67" w:rsidRDefault="00D72CF0">
            <w:pPr>
              <w:pStyle w:val="Tabellcell"/>
              <w:jc w:val="right"/>
            </w:pPr>
            <w:r>
              <w:rPr>
                <w:b/>
              </w:rPr>
              <w:t>-12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38599921" w14:textId="77777777" w:rsidR="002F7F67" w:rsidRDefault="00D72CF0">
            <w:pPr>
              <w:pStyle w:val="Tabellcell"/>
              <w:jc w:val="right"/>
            </w:pPr>
            <w:r>
              <w:rPr>
                <w:b/>
              </w:rPr>
              <w:t>-20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60544BD9" w14:textId="77777777" w:rsidR="002F7F67" w:rsidRDefault="00D72CF0">
            <w:pPr>
              <w:pStyle w:val="Tabellcell"/>
              <w:jc w:val="right"/>
            </w:pPr>
            <w:r>
              <w:rPr>
                <w:b/>
              </w:rPr>
              <w:t>-20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1CEE9AE7" w14:textId="77777777" w:rsidR="002F7F67" w:rsidRDefault="00D72CF0">
            <w:pPr>
              <w:pStyle w:val="Tabellcell"/>
              <w:jc w:val="right"/>
            </w:pPr>
            <w:r>
              <w:rPr>
                <w:b/>
              </w:rPr>
              <w:t>-20</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08B945F2" w14:textId="77777777" w:rsidR="002F7F67" w:rsidRDefault="00D72CF0">
            <w:pPr>
              <w:pStyle w:val="Tabellcell"/>
              <w:jc w:val="right"/>
            </w:pPr>
            <w:r>
              <w:rPr>
                <w:b/>
              </w:rPr>
              <w:t>-46</w:t>
            </w:r>
          </w:p>
        </w:tc>
      </w:tr>
      <w:tr w:rsidR="002F7F67" w14:paraId="5C3A452F" w14:textId="77777777" w:rsidTr="00C56B17">
        <w:trPr>
          <w:cantSplit w:val="0"/>
        </w:trPr>
        <w:tc>
          <w:tcPr>
            <w:tcW w:w="1295" w:type="dxa"/>
            <w:tcBorders>
              <w:top w:val="single" w:sz="4" w:space="0" w:color="auto"/>
              <w:left w:val="single" w:sz="4" w:space="0" w:color="auto"/>
              <w:bottom w:val="single" w:sz="4" w:space="0" w:color="auto"/>
              <w:right w:val="single" w:sz="4" w:space="0" w:color="auto"/>
            </w:tcBorders>
            <w:shd w:val="clear" w:color="auto" w:fill="FFFFFF"/>
            <w:vAlign w:val="center"/>
          </w:tcPr>
          <w:p w14:paraId="5CC11875" w14:textId="77777777" w:rsidR="002F7F67" w:rsidRDefault="00D72CF0">
            <w:pPr>
              <w:pStyle w:val="Tabellcell"/>
            </w:pPr>
            <w:r>
              <w:rPr>
                <w:b/>
              </w:rPr>
              <w:t>Resultat efter fin. poster</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76D41B77" w14:textId="77777777" w:rsidR="002F7F67" w:rsidRDefault="00D72CF0">
            <w:pPr>
              <w:pStyle w:val="Tabellcell"/>
              <w:jc w:val="right"/>
            </w:pPr>
            <w:r>
              <w:rPr>
                <w:b/>
              </w:rPr>
              <w:t>-20 831</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422E91B3" w14:textId="77777777" w:rsidR="002F7F67" w:rsidRDefault="00D72CF0">
            <w:pPr>
              <w:pStyle w:val="Tabellcell"/>
              <w:jc w:val="right"/>
            </w:pPr>
            <w:r>
              <w:rPr>
                <w:b/>
              </w:rPr>
              <w:t>4 339</w:t>
            </w: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0F986868" w14:textId="77777777" w:rsidR="002F7F67" w:rsidRDefault="00D72CF0">
            <w:pPr>
              <w:pStyle w:val="Tabellcell"/>
              <w:jc w:val="right"/>
            </w:pPr>
            <w:r>
              <w:rPr>
                <w:b/>
              </w:rPr>
              <w:t>-25 170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64EA123B" w14:textId="77777777" w:rsidR="002F7F67" w:rsidRDefault="00D72CF0">
            <w:pPr>
              <w:pStyle w:val="Tabellcell"/>
              <w:jc w:val="right"/>
            </w:pPr>
            <w:r>
              <w:rPr>
                <w:b/>
              </w:rPr>
              <w:t>14 464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02CA40F9" w14:textId="77777777" w:rsidR="002F7F67" w:rsidRDefault="00D72CF0">
            <w:pPr>
              <w:pStyle w:val="Tabellcell"/>
              <w:jc w:val="right"/>
            </w:pPr>
            <w:r>
              <w:rPr>
                <w:b/>
              </w:rPr>
              <w:t>230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14:paraId="242B3446" w14:textId="77777777" w:rsidR="002F7F67" w:rsidRDefault="00D72CF0">
            <w:pPr>
              <w:pStyle w:val="Tabellcell"/>
              <w:jc w:val="right"/>
            </w:pPr>
            <w:r>
              <w:rPr>
                <w:b/>
              </w:rPr>
              <w:t>960</w:t>
            </w:r>
          </w:p>
        </w:tc>
        <w:tc>
          <w:tcPr>
            <w:tcW w:w="747" w:type="dxa"/>
            <w:tcBorders>
              <w:top w:val="single" w:sz="4" w:space="0" w:color="auto"/>
              <w:left w:val="single" w:sz="4" w:space="0" w:color="auto"/>
              <w:bottom w:val="single" w:sz="4" w:space="0" w:color="auto"/>
              <w:right w:val="single" w:sz="4" w:space="0" w:color="auto"/>
            </w:tcBorders>
            <w:shd w:val="clear" w:color="auto" w:fill="FFFFFF"/>
            <w:vAlign w:val="center"/>
          </w:tcPr>
          <w:p w14:paraId="28813487" w14:textId="77777777" w:rsidR="002F7F67" w:rsidRDefault="00D72CF0">
            <w:pPr>
              <w:pStyle w:val="Tabellcell"/>
              <w:jc w:val="right"/>
            </w:pPr>
            <w:r>
              <w:rPr>
                <w:b/>
              </w:rPr>
              <w:t>1 760</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14:paraId="7FC8FA61" w14:textId="77777777" w:rsidR="002F7F67" w:rsidRDefault="00D72CF0">
            <w:pPr>
              <w:pStyle w:val="Tabellcell"/>
              <w:jc w:val="right"/>
            </w:pPr>
            <w:r>
              <w:rPr>
                <w:b/>
              </w:rPr>
              <w:t>395</w:t>
            </w:r>
          </w:p>
        </w:tc>
      </w:tr>
    </w:tbl>
    <w:p w14:paraId="427D1648" w14:textId="77777777" w:rsidR="002F7F67" w:rsidRDefault="00D72CF0">
      <w:pPr>
        <w:pStyle w:val="Rubrik2"/>
      </w:pPr>
      <w:bookmarkStart w:id="1" w:name="_Toc72825426"/>
      <w:r>
        <w:t>Utfall till och med perioden</w:t>
      </w:r>
      <w:bookmarkStart w:id="2" w:name="_GoBack"/>
      <w:bookmarkEnd w:id="1"/>
      <w:bookmarkEnd w:id="2"/>
    </w:p>
    <w:p w14:paraId="1F6E4EB2" w14:textId="77777777" w:rsidR="002F7F67" w:rsidRDefault="00D72CF0">
      <w:pPr>
        <w:pStyle w:val="BodyText"/>
        <w:widowControl w:val="0"/>
        <w:spacing w:before="160"/>
      </w:pPr>
      <w:r>
        <w:t>Ackumulerat resultat för Trafikavtalet är -11,1 mkr, vilket är -18,1 mkr jämfört med budget. Avvikelsen beror till stor del på högre elkostnader, högre kostnader för ban- och spår underhåll och ett högt uttag av fordonsdelar pga bearbetning av tidigare års underhållsskuld.</w:t>
      </w:r>
    </w:p>
    <w:p w14:paraId="65CDD3CF" w14:textId="77777777" w:rsidR="002F7F67" w:rsidRDefault="00D72CF0">
      <w:pPr>
        <w:pStyle w:val="BodyText"/>
        <w:widowControl w:val="0"/>
      </w:pPr>
      <w:r>
        <w:t>Resultatet för Banavtalet är -9,9 mkr vilket är -6,8 mkr jämfört ackumulerad budget. Det ackumulerade omsättning avviker negativt mot budget med drygt 5 mkr då man inte utfört arbete i anläggningen enligt plan. De ackumulerade kostnaderna överskrider budget med drygt 2,1 mkr vilket främst beror på att man behövt hyra in tekniker från underentreprenörer på grund av brist på egen personal inom teknikgrenarna kontaktledning och svets.</w:t>
      </w:r>
    </w:p>
    <w:p w14:paraId="2443A18A" w14:textId="77777777" w:rsidR="002F7F67" w:rsidRDefault="00D72CF0">
      <w:pPr>
        <w:pStyle w:val="BodyText"/>
        <w:widowControl w:val="0"/>
      </w:pPr>
      <w:r>
        <w:t>Kommunikationsteknik ligger på 0 vilket är 0,4 mkr sämre än budget.</w:t>
      </w:r>
    </w:p>
    <w:p w14:paraId="5198EFD7" w14:textId="77777777" w:rsidR="002F7F67" w:rsidRDefault="00D72CF0">
      <w:pPr>
        <w:pStyle w:val="BodyText"/>
        <w:widowControl w:val="0"/>
      </w:pPr>
      <w:r>
        <w:t> </w:t>
      </w:r>
    </w:p>
    <w:p w14:paraId="7335FA99" w14:textId="77777777" w:rsidR="002F7F67" w:rsidRDefault="00D72CF0">
      <w:pPr>
        <w:pStyle w:val="Rubrik2"/>
      </w:pPr>
      <w:bookmarkStart w:id="3" w:name="_Toc72825427"/>
      <w:r>
        <w:t>Prognos</w:t>
      </w:r>
      <w:bookmarkEnd w:id="3"/>
    </w:p>
    <w:p w14:paraId="7C34D7D4" w14:textId="77777777" w:rsidR="002F7F67" w:rsidRDefault="00D72CF0">
      <w:pPr>
        <w:pStyle w:val="BodyText"/>
        <w:widowControl w:val="0"/>
        <w:spacing w:before="160"/>
      </w:pPr>
      <w:r>
        <w:t>Prognos för Trafikavtalet uppgår till -31,4 mkr vilket framför allt beror på att vi har en ofinansierad post i vår budget på 34,6 mkr som vi i nuläget inte ser att vi kan hantera inom ramen för vår budgeterade intäkt. En viktig faktor är att bolaget är i en övergångsfas mellan utfasning av äldre fordon (vars kostnader ökar) och försenad infasning av nya fordon (som omöjliggör planerad systemförändring).</w:t>
      </w:r>
    </w:p>
    <w:p w14:paraId="1248C818" w14:textId="77777777" w:rsidR="002F7F67" w:rsidRDefault="00D72CF0">
      <w:pPr>
        <w:pStyle w:val="BodyText"/>
        <w:widowControl w:val="0"/>
      </w:pPr>
      <w:r>
        <w:t>Enligt Trafikavtalet kommer faktisk resultatavvikelse vid årets slut att regleras mot Västtrafik, vilket gör att vi redovisar noll i resultat på trafikavtalet.</w:t>
      </w:r>
    </w:p>
    <w:p w14:paraId="0D30FFBD" w14:textId="77777777" w:rsidR="002F7F67" w:rsidRDefault="00D72CF0">
      <w:pPr>
        <w:pStyle w:val="BodyText"/>
        <w:widowControl w:val="0"/>
      </w:pPr>
      <w:r>
        <w:t>Prognos för Banavtalet är också lägre än budgeterat (-1,5 Mkr) till följd av att vi varit tvungna att hantera viss verksamhet med underentreprenörer i väntan på att kunna rekrytera.</w:t>
      </w:r>
    </w:p>
    <w:sectPr w:rsidR="002F7F6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BF8C8" w14:textId="77777777" w:rsidR="00CA18E8" w:rsidRDefault="00CA18E8" w:rsidP="00FD14E4">
      <w:pPr>
        <w:spacing w:after="0" w:line="240" w:lineRule="auto"/>
      </w:pPr>
      <w:r>
        <w:separator/>
      </w:r>
    </w:p>
  </w:endnote>
  <w:endnote w:type="continuationSeparator" w:id="0">
    <w:p w14:paraId="266F1504" w14:textId="77777777" w:rsidR="00CA18E8" w:rsidRDefault="00CA18E8"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84D8" w14:textId="77777777" w:rsidR="00646753" w:rsidRDefault="00352C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topFromText="851" w:vertAnchor="page" w:horzAnchor="page" w:tblpX="1419" w:tblpY="15650"/>
      <w:tblOverlap w:val="never"/>
      <w:tblW w:w="8520"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Pr>
    <w:tblGrid>
      <w:gridCol w:w="6946"/>
      <w:gridCol w:w="1574"/>
    </w:tblGrid>
    <w:tr w:rsidR="00C31ADA" w:rsidRPr="00C4334D" w14:paraId="1F1BCDD4" w14:textId="77777777" w:rsidTr="00646753">
      <w:trPr>
        <w:trHeight w:val="207"/>
      </w:trPr>
      <w:tc>
        <w:tcPr>
          <w:tcW w:w="6946" w:type="dxa"/>
        </w:tcPr>
        <w:p w14:paraId="6A494F4E" w14:textId="77777777" w:rsidR="00C31ADA" w:rsidRPr="0013286A" w:rsidRDefault="00D72CF0" w:rsidP="00DC5106">
          <w:pPr>
            <w:pStyle w:val="Sidfot"/>
            <w:spacing w:after="100"/>
            <w:rPr>
              <w:rFonts w:ascii="Arial" w:hAnsi="Arial" w:cs="Arial"/>
            </w:rPr>
          </w:pPr>
          <w:r w:rsidRPr="0013286A">
            <w:rPr>
              <w:rFonts w:ascii="Arial" w:hAnsi="Arial" w:cs="Arial"/>
            </w:rPr>
            <w:t>Extra månadsuppföljning april 2021 bolag</w:t>
          </w:r>
          <w:r>
            <w:rPr>
              <w:rFonts w:ascii="Arial" w:hAnsi="Arial" w:cs="Arial"/>
            </w:rPr>
            <w:t xml:space="preserve"> </w:t>
          </w:r>
        </w:p>
      </w:tc>
      <w:tc>
        <w:tcPr>
          <w:tcW w:w="1574" w:type="dxa"/>
        </w:tcPr>
        <w:p w14:paraId="19745634" w14:textId="77777777" w:rsidR="00C31ADA" w:rsidRPr="00ED4363" w:rsidRDefault="00D72CF0" w:rsidP="00DC5106">
          <w:pPr>
            <w:pStyle w:val="Sidfot"/>
            <w:spacing w:after="100"/>
            <w:jc w:val="right"/>
            <w:rPr>
              <w:rFonts w:ascii="Arial" w:hAnsi="Arial" w:cs="Arial"/>
            </w:rPr>
          </w:pPr>
          <w:r w:rsidRPr="00ED4363">
            <w:rPr>
              <w:rFonts w:ascii="Arial" w:hAnsi="Arial" w:cs="Arial"/>
            </w:rPr>
            <w:fldChar w:fldCharType="begin"/>
          </w:r>
          <w:r w:rsidRPr="00ED4363">
            <w:rPr>
              <w:rFonts w:ascii="Arial" w:hAnsi="Arial" w:cs="Arial"/>
            </w:rPr>
            <w:instrText xml:space="preserve"> PAGE   \* MERGEFORMAT </w:instrText>
          </w:r>
          <w:r w:rsidRPr="00ED4363">
            <w:rPr>
              <w:rFonts w:ascii="Arial" w:hAnsi="Arial" w:cs="Arial"/>
            </w:rPr>
            <w:fldChar w:fldCharType="separate"/>
          </w:r>
          <w:r w:rsidRPr="00ED4363">
            <w:rPr>
              <w:rFonts w:ascii="Arial" w:hAnsi="Arial" w:cs="Arial"/>
              <w:noProof/>
            </w:rPr>
            <w:t>2</w:t>
          </w:r>
          <w:r w:rsidRPr="00ED4363">
            <w:rPr>
              <w:rFonts w:ascii="Arial" w:hAnsi="Arial" w:cs="Arial"/>
            </w:rPr>
            <w:fldChar w:fldCharType="end"/>
          </w:r>
          <w:r w:rsidRPr="00ED4363">
            <w:rPr>
              <w:rFonts w:ascii="Arial" w:hAnsi="Arial" w:cs="Arial"/>
            </w:rPr>
            <w:t xml:space="preserve"> (</w:t>
          </w:r>
          <w:r w:rsidRPr="00ED4363">
            <w:rPr>
              <w:rFonts w:ascii="Arial" w:hAnsi="Arial" w:cs="Arial"/>
              <w:noProof/>
            </w:rPr>
            <w:fldChar w:fldCharType="begin"/>
          </w:r>
          <w:r w:rsidRPr="00ED4363">
            <w:rPr>
              <w:rFonts w:ascii="Arial" w:hAnsi="Arial" w:cs="Arial"/>
              <w:noProof/>
            </w:rPr>
            <w:instrText xml:space="preserve"> NUMPAGES   \* MERGEFORMAT </w:instrText>
          </w:r>
          <w:r w:rsidRPr="00ED4363">
            <w:rPr>
              <w:rFonts w:ascii="Arial" w:hAnsi="Arial" w:cs="Arial"/>
              <w:noProof/>
            </w:rPr>
            <w:fldChar w:fldCharType="separate"/>
          </w:r>
          <w:r w:rsidRPr="00ED4363">
            <w:rPr>
              <w:rFonts w:ascii="Arial" w:hAnsi="Arial" w:cs="Arial"/>
              <w:noProof/>
            </w:rPr>
            <w:t>2</w:t>
          </w:r>
          <w:r w:rsidRPr="00ED4363">
            <w:rPr>
              <w:rFonts w:ascii="Arial" w:hAnsi="Arial" w:cs="Arial"/>
              <w:noProof/>
            </w:rPr>
            <w:fldChar w:fldCharType="end"/>
          </w:r>
          <w:r w:rsidRPr="00ED4363">
            <w:rPr>
              <w:rFonts w:ascii="Arial" w:hAnsi="Arial" w:cs="Arial"/>
            </w:rPr>
            <w:t>)</w:t>
          </w:r>
        </w:p>
      </w:tc>
    </w:tr>
    <w:tr w:rsidR="00C31ADA" w:rsidRPr="00AE7954" w14:paraId="46D058AE" w14:textId="77777777" w:rsidTr="00646753">
      <w:trPr>
        <w:trHeight w:val="207"/>
      </w:trPr>
      <w:tc>
        <w:tcPr>
          <w:tcW w:w="6946" w:type="dxa"/>
        </w:tcPr>
        <w:p w14:paraId="08B3F5B1" w14:textId="77777777" w:rsidR="00C31ADA" w:rsidRPr="00AE7954" w:rsidRDefault="00D72CF0" w:rsidP="00DC5106">
          <w:pPr>
            <w:pStyle w:val="Sidfot"/>
            <w:spacing w:after="100"/>
          </w:pPr>
          <w:r w:rsidRPr="0013286A">
            <w:rPr>
              <w:rFonts w:ascii="Arial" w:hAnsi="Arial" w:cs="Arial"/>
            </w:rPr>
            <w:t>Göteborgs Spårvägar AB</w:t>
          </w:r>
        </w:p>
      </w:tc>
      <w:tc>
        <w:tcPr>
          <w:tcW w:w="1574" w:type="dxa"/>
        </w:tcPr>
        <w:p w14:paraId="7AE53933" w14:textId="77777777" w:rsidR="00C31ADA" w:rsidRPr="0013286A" w:rsidRDefault="00352C9E" w:rsidP="00DC5106">
          <w:pPr>
            <w:pStyle w:val="Sidfot"/>
            <w:spacing w:after="100"/>
            <w:rPr>
              <w:rFonts w:ascii="Arial" w:hAnsi="Arial" w:cs="Arial"/>
            </w:rPr>
          </w:pPr>
        </w:p>
      </w:tc>
    </w:tr>
    <w:tr w:rsidR="00C31ADA" w14:paraId="77941B4D" w14:textId="77777777" w:rsidTr="00094C55">
      <w:trPr>
        <w:trHeight w:val="207"/>
      </w:trPr>
      <w:tc>
        <w:tcPr>
          <w:tcW w:w="6946" w:type="dxa"/>
        </w:tcPr>
        <w:p w14:paraId="41E6EE7E" w14:textId="77777777" w:rsidR="00C31ADA" w:rsidRPr="00460C9B" w:rsidRDefault="00352C9E" w:rsidP="00DC5106">
          <w:pPr>
            <w:pStyle w:val="Sidfot"/>
            <w:spacing w:after="100"/>
            <w:rPr>
              <w:rFonts w:ascii="Arial" w:hAnsi="Arial" w:cs="Arial"/>
            </w:rPr>
          </w:pPr>
        </w:p>
      </w:tc>
      <w:tc>
        <w:tcPr>
          <w:tcW w:w="1574" w:type="dxa"/>
          <w:vAlign w:val="center"/>
        </w:tcPr>
        <w:p w14:paraId="53582519" w14:textId="77777777" w:rsidR="00C31ADA" w:rsidRPr="0013286A" w:rsidRDefault="00D72CF0" w:rsidP="00094C55">
          <w:pPr>
            <w:pStyle w:val="Sidfot"/>
            <w:spacing w:after="100"/>
            <w:jc w:val="right"/>
            <w:rPr>
              <w:rFonts w:ascii="Arial" w:hAnsi="Arial" w:cs="Arial"/>
            </w:rPr>
          </w:pPr>
          <w:r>
            <w:rPr>
              <w:rFonts w:ascii="Arial" w:hAnsi="Arial" w:cs="Arial"/>
            </w:rPr>
            <w:fldChar w:fldCharType="begin"/>
          </w:r>
          <w:r>
            <w:rPr>
              <w:rFonts w:ascii="Arial" w:hAnsi="Arial" w:cs="Arial"/>
            </w:rPr>
            <w:instrText xml:space="preserve"> CREATEDATE   \* MERGEFORMAT </w:instrText>
          </w:r>
          <w:r>
            <w:rPr>
              <w:rFonts w:ascii="Arial" w:hAnsi="Arial" w:cs="Arial"/>
            </w:rPr>
            <w:fldChar w:fldCharType="separate"/>
          </w:r>
          <w:r>
            <w:rPr>
              <w:rFonts w:ascii="Arial" w:hAnsi="Arial" w:cs="Arial"/>
              <w:noProof/>
            </w:rPr>
            <w:fldChar w:fldCharType="begin"/>
          </w:r>
          <w:r>
            <w:rPr>
              <w:rFonts w:ascii="Arial" w:hAnsi="Arial" w:cs="Arial"/>
              <w:noProof/>
            </w:rPr>
            <w:instrText xml:space="preserve"> CREATEDATE  \@ "yyyy-MM-dd"  \* MERGEFORMAT </w:instrText>
          </w:r>
          <w:r>
            <w:rPr>
              <w:rFonts w:ascii="Arial" w:hAnsi="Arial" w:cs="Arial"/>
              <w:noProof/>
            </w:rPr>
            <w:fldChar w:fldCharType="separate"/>
          </w:r>
          <w:r>
            <w:rPr>
              <w:rFonts w:ascii="Arial" w:hAnsi="Arial" w:cs="Arial"/>
              <w:noProof/>
            </w:rPr>
            <w:t>2021-02-23</w:t>
          </w:r>
          <w:r>
            <w:rPr>
              <w:rFonts w:ascii="Arial" w:hAnsi="Arial" w:cs="Arial"/>
              <w:noProof/>
            </w:rPr>
            <w:fldChar w:fldCharType="end"/>
          </w:r>
          <w:r>
            <w:rPr>
              <w:rFonts w:ascii="Arial" w:hAnsi="Arial" w:cs="Arial"/>
              <w:noProof/>
            </w:rPr>
            <w:t xml:space="preserve"> </w:t>
          </w:r>
          <w:r>
            <w:rPr>
              <w:rFonts w:ascii="Arial" w:hAnsi="Arial" w:cs="Arial"/>
            </w:rPr>
            <w:fldChar w:fldCharType="end"/>
          </w:r>
        </w:p>
      </w:tc>
    </w:tr>
  </w:tbl>
  <w:p w14:paraId="07E85668" w14:textId="77777777" w:rsidR="00A4116C" w:rsidRPr="00ED4363" w:rsidRDefault="00352C9E" w:rsidP="000A723F">
    <w:pPr>
      <w:pStyle w:val="Sidfo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76EF" w14:textId="77777777" w:rsidR="00646753" w:rsidRDefault="00352C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6E54B" w14:textId="77777777" w:rsidR="00CA18E8" w:rsidRDefault="00CA18E8" w:rsidP="00FD14E4">
      <w:pPr>
        <w:spacing w:after="0" w:line="240" w:lineRule="auto"/>
      </w:pPr>
      <w:r>
        <w:separator/>
      </w:r>
    </w:p>
  </w:footnote>
  <w:footnote w:type="continuationSeparator" w:id="0">
    <w:p w14:paraId="638D5857" w14:textId="77777777" w:rsidR="00CA18E8" w:rsidRDefault="00CA18E8"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2116" w14:textId="77777777" w:rsidR="00646753" w:rsidRDefault="00352C9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60AE" w14:textId="77777777" w:rsidR="00646753" w:rsidRDefault="00352C9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3BFF" w14:textId="77777777" w:rsidR="00646753" w:rsidRDefault="00352C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C278E"/>
    <w:rsid w:val="001233CD"/>
    <w:rsid w:val="00127D82"/>
    <w:rsid w:val="001B0017"/>
    <w:rsid w:val="001D0C89"/>
    <w:rsid w:val="001E34D9"/>
    <w:rsid w:val="002A012C"/>
    <w:rsid w:val="002B32D9"/>
    <w:rsid w:val="002F7F67"/>
    <w:rsid w:val="00305336"/>
    <w:rsid w:val="0031706A"/>
    <w:rsid w:val="00326D90"/>
    <w:rsid w:val="0033640E"/>
    <w:rsid w:val="00342AB7"/>
    <w:rsid w:val="00352C9E"/>
    <w:rsid w:val="003A40E9"/>
    <w:rsid w:val="003B4ABF"/>
    <w:rsid w:val="003D0963"/>
    <w:rsid w:val="00405E3D"/>
    <w:rsid w:val="00416ADD"/>
    <w:rsid w:val="004850B1"/>
    <w:rsid w:val="004A08E3"/>
    <w:rsid w:val="00503904"/>
    <w:rsid w:val="00514099"/>
    <w:rsid w:val="0057086E"/>
    <w:rsid w:val="005758E3"/>
    <w:rsid w:val="005A4EDC"/>
    <w:rsid w:val="005E7669"/>
    <w:rsid w:val="00623030"/>
    <w:rsid w:val="00656BC9"/>
    <w:rsid w:val="006B74B7"/>
    <w:rsid w:val="00751C70"/>
    <w:rsid w:val="007A46F9"/>
    <w:rsid w:val="007A6F6A"/>
    <w:rsid w:val="007C438A"/>
    <w:rsid w:val="007D03BE"/>
    <w:rsid w:val="007F0C07"/>
    <w:rsid w:val="00803EA2"/>
    <w:rsid w:val="008277D0"/>
    <w:rsid w:val="008A28D0"/>
    <w:rsid w:val="008E1B36"/>
    <w:rsid w:val="00932BB2"/>
    <w:rsid w:val="00962D10"/>
    <w:rsid w:val="00970054"/>
    <w:rsid w:val="009D0096"/>
    <w:rsid w:val="00A06539"/>
    <w:rsid w:val="00A24B46"/>
    <w:rsid w:val="00A33522"/>
    <w:rsid w:val="00A86C9B"/>
    <w:rsid w:val="00AA216E"/>
    <w:rsid w:val="00AB0EC1"/>
    <w:rsid w:val="00AD0A0D"/>
    <w:rsid w:val="00AF5336"/>
    <w:rsid w:val="00B161D4"/>
    <w:rsid w:val="00B50452"/>
    <w:rsid w:val="00B7025F"/>
    <w:rsid w:val="00BE272B"/>
    <w:rsid w:val="00C2319F"/>
    <w:rsid w:val="00C23D5C"/>
    <w:rsid w:val="00C56B17"/>
    <w:rsid w:val="00C91C90"/>
    <w:rsid w:val="00CA18E8"/>
    <w:rsid w:val="00CA1E51"/>
    <w:rsid w:val="00CB0C4B"/>
    <w:rsid w:val="00CB7232"/>
    <w:rsid w:val="00D33F10"/>
    <w:rsid w:val="00D72CF0"/>
    <w:rsid w:val="00D81E48"/>
    <w:rsid w:val="00DF5909"/>
    <w:rsid w:val="00E5254C"/>
    <w:rsid w:val="00E77475"/>
    <w:rsid w:val="00EF1FBF"/>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FD774C"/>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C6D2D9FDB7F64A8A2749937992EC83" ma:contentTypeVersion="10" ma:contentTypeDescription="Skapa ett nytt dokument." ma:contentTypeScope="" ma:versionID="e5027cc3fa853bdac68a4a3b29e5c178">
  <xsd:schema xmlns:xsd="http://www.w3.org/2001/XMLSchema" xmlns:xs="http://www.w3.org/2001/XMLSchema" xmlns:p="http://schemas.microsoft.com/office/2006/metadata/properties" xmlns:ns3="e8604a2c-24e8-4895-938f-9f61e8b8670b" targetNamespace="http://schemas.microsoft.com/office/2006/metadata/properties" ma:root="true" ma:fieldsID="9fa800c4bf3e486c07282d64fb67f9df" ns3:_="">
    <xsd:import namespace="e8604a2c-24e8-4895-938f-9f61e8b867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04a2c-24e8-4895-938f-9f61e8b86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F8A5F-DEB9-4CF2-98A2-41F481392D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43F7F-DEE7-47DA-9470-449245A675F2}">
  <ds:schemaRefs>
    <ds:schemaRef ds:uri="http://schemas.microsoft.com/sharepoint/v3/contenttype/forms"/>
  </ds:schemaRefs>
</ds:datastoreItem>
</file>

<file path=customXml/itemProps3.xml><?xml version="1.0" encoding="utf-8"?>
<ds:datastoreItem xmlns:ds="http://schemas.openxmlformats.org/officeDocument/2006/customXml" ds:itemID="{04E7EA78-8703-4659-A0F8-453C5C5C8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04a2c-24e8-4895-938f-9f61e8b86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3A7E65-FA6D-4849-B8D0-680A349A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423</Words>
  <Characters>2247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månadsuppföljning april 2021 bolag</dc:title>
  <dc:subject/>
  <dc:creator>Stratsys</dc:creator>
  <cp:keywords/>
  <dc:description/>
  <cp:lastModifiedBy>Carin Ahlinder</cp:lastModifiedBy>
  <cp:revision>2</cp:revision>
  <dcterms:created xsi:type="dcterms:W3CDTF">2021-05-25T07:16:00Z</dcterms:created>
  <dcterms:modified xsi:type="dcterms:W3CDTF">2021-05-25T07:16:00Z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0x01010066C6D2D9FDB7F64A8A2749937992EC83</vt:lpwstr>
  </property>
</Properties>
</file>