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A3B" w:rsidRDefault="00B72364">
      <w:pPr>
        <w:pStyle w:val="Rubrik"/>
      </w:pPr>
      <w:r>
        <w:t>Extra månadsuppföljning april 2021 bolag</w:t>
      </w:r>
    </w:p>
    <w:p w:rsidR="008F5A3B" w:rsidRDefault="00B72364">
      <w:pPr>
        <w:pStyle w:val="Enhet"/>
      </w:pPr>
      <w:r>
        <w:t>GS Trafikantservice AB</w:t>
      </w:r>
    </w:p>
    <w:p w:rsidR="008F5A3B" w:rsidRDefault="00B72364">
      <w:pPr>
        <w:pStyle w:val="Enhet"/>
      </w:pPr>
      <w:r>
        <w:t>2021</w:t>
      </w:r>
    </w:p>
    <w:p w:rsidR="008F5A3B" w:rsidRDefault="00B72364">
      <w:r>
        <w:br w:type="page"/>
      </w:r>
    </w:p>
    <w:sdt>
      <w:sdtPr>
        <w:rPr>
          <w:rFonts w:ascii="Times New Roman" w:eastAsia="Times New Roman" w:hAnsi="Times New Roman" w:cs="Times New Roman"/>
          <w:b w:val="0"/>
          <w:bCs w:val="0"/>
          <w:color w:val="auto"/>
          <w:sz w:val="22"/>
          <w:szCs w:val="22"/>
        </w:rPr>
        <w:id w:val="-676422571"/>
        <w:docPartObj>
          <w:docPartGallery w:val="Table of Contents"/>
          <w:docPartUnique/>
        </w:docPartObj>
      </w:sdtPr>
      <w:sdtEndPr/>
      <w:sdtContent>
        <w:p w:rsidR="008F5A3B" w:rsidRDefault="00B72364">
          <w:pPr>
            <w:pStyle w:val="Innehllsfrteckningsrubrik"/>
          </w:pPr>
          <w:r>
            <w:t>Innehållsförteckning</w:t>
          </w:r>
        </w:p>
        <w:p w:rsidR="003121E6" w:rsidRDefault="00B72364">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71705285" w:history="1">
            <w:r w:rsidR="003121E6" w:rsidRPr="00931240">
              <w:rPr>
                <w:rStyle w:val="Hyperlnk"/>
                <w:noProof/>
              </w:rPr>
              <w:t>1</w:t>
            </w:r>
            <w:r w:rsidR="003121E6">
              <w:rPr>
                <w:rFonts w:asciiTheme="minorHAnsi" w:hAnsiTheme="minorHAnsi"/>
                <w:b w:val="0"/>
                <w:bCs w:val="0"/>
                <w:noProof/>
                <w:color w:val="auto"/>
                <w:lang w:eastAsia="sv-SE"/>
              </w:rPr>
              <w:tab/>
            </w:r>
            <w:r w:rsidR="003121E6" w:rsidRPr="00931240">
              <w:rPr>
                <w:rStyle w:val="Hyperlnk"/>
                <w:noProof/>
              </w:rPr>
              <w:t>Uppföljning av driftsbudget</w:t>
            </w:r>
            <w:r w:rsidR="003121E6">
              <w:rPr>
                <w:noProof/>
                <w:webHidden/>
              </w:rPr>
              <w:tab/>
            </w:r>
            <w:r w:rsidR="003121E6">
              <w:rPr>
                <w:noProof/>
                <w:webHidden/>
              </w:rPr>
              <w:fldChar w:fldCharType="begin"/>
            </w:r>
            <w:r w:rsidR="003121E6">
              <w:rPr>
                <w:noProof/>
                <w:webHidden/>
              </w:rPr>
              <w:instrText xml:space="preserve"> PAGEREF _Toc71705285 \h </w:instrText>
            </w:r>
            <w:r w:rsidR="003121E6">
              <w:rPr>
                <w:noProof/>
                <w:webHidden/>
              </w:rPr>
            </w:r>
            <w:r w:rsidR="003121E6">
              <w:rPr>
                <w:noProof/>
                <w:webHidden/>
              </w:rPr>
              <w:fldChar w:fldCharType="separate"/>
            </w:r>
            <w:r w:rsidR="003121E6">
              <w:rPr>
                <w:noProof/>
                <w:webHidden/>
              </w:rPr>
              <w:t>3</w:t>
            </w:r>
            <w:r w:rsidR="003121E6">
              <w:rPr>
                <w:noProof/>
                <w:webHidden/>
              </w:rPr>
              <w:fldChar w:fldCharType="end"/>
            </w:r>
          </w:hyperlink>
        </w:p>
        <w:p w:rsidR="003121E6" w:rsidRDefault="00BA1016">
          <w:pPr>
            <w:pStyle w:val="Innehll2"/>
            <w:rPr>
              <w:rFonts w:asciiTheme="minorHAnsi" w:eastAsiaTheme="minorEastAsia" w:hAnsiTheme="minorHAnsi" w:cstheme="minorBidi"/>
              <w:noProof/>
              <w:color w:val="auto"/>
              <w:lang w:eastAsia="sv-SE"/>
            </w:rPr>
          </w:pPr>
          <w:hyperlink w:anchor="_Toc71705286" w:history="1">
            <w:r w:rsidR="003121E6" w:rsidRPr="00931240">
              <w:rPr>
                <w:rStyle w:val="Hyperlnk"/>
                <w:noProof/>
              </w:rPr>
              <w:t>1.1</w:t>
            </w:r>
            <w:r w:rsidR="003121E6">
              <w:rPr>
                <w:rFonts w:asciiTheme="minorHAnsi" w:eastAsiaTheme="minorEastAsia" w:hAnsiTheme="minorHAnsi" w:cstheme="minorBidi"/>
                <w:noProof/>
                <w:color w:val="auto"/>
                <w:lang w:eastAsia="sv-SE"/>
              </w:rPr>
              <w:tab/>
            </w:r>
            <w:r w:rsidR="003121E6" w:rsidRPr="00931240">
              <w:rPr>
                <w:rStyle w:val="Hyperlnk"/>
                <w:noProof/>
              </w:rPr>
              <w:t>Utfall till och med perioden</w:t>
            </w:r>
            <w:r w:rsidR="003121E6">
              <w:rPr>
                <w:noProof/>
                <w:webHidden/>
              </w:rPr>
              <w:tab/>
            </w:r>
            <w:r w:rsidR="003121E6">
              <w:rPr>
                <w:noProof/>
                <w:webHidden/>
              </w:rPr>
              <w:fldChar w:fldCharType="begin"/>
            </w:r>
            <w:r w:rsidR="003121E6">
              <w:rPr>
                <w:noProof/>
                <w:webHidden/>
              </w:rPr>
              <w:instrText xml:space="preserve"> PAGEREF _Toc71705286 \h </w:instrText>
            </w:r>
            <w:r w:rsidR="003121E6">
              <w:rPr>
                <w:noProof/>
                <w:webHidden/>
              </w:rPr>
            </w:r>
            <w:r w:rsidR="003121E6">
              <w:rPr>
                <w:noProof/>
                <w:webHidden/>
              </w:rPr>
              <w:fldChar w:fldCharType="separate"/>
            </w:r>
            <w:r w:rsidR="003121E6">
              <w:rPr>
                <w:noProof/>
                <w:webHidden/>
              </w:rPr>
              <w:t>3</w:t>
            </w:r>
            <w:r w:rsidR="003121E6">
              <w:rPr>
                <w:noProof/>
                <w:webHidden/>
              </w:rPr>
              <w:fldChar w:fldCharType="end"/>
            </w:r>
          </w:hyperlink>
        </w:p>
        <w:p w:rsidR="003121E6" w:rsidRDefault="00BA1016">
          <w:pPr>
            <w:pStyle w:val="Innehll2"/>
            <w:rPr>
              <w:rFonts w:asciiTheme="minorHAnsi" w:eastAsiaTheme="minorEastAsia" w:hAnsiTheme="minorHAnsi" w:cstheme="minorBidi"/>
              <w:noProof/>
              <w:color w:val="auto"/>
              <w:lang w:eastAsia="sv-SE"/>
            </w:rPr>
          </w:pPr>
          <w:hyperlink w:anchor="_Toc71705287" w:history="1">
            <w:r w:rsidR="003121E6" w:rsidRPr="00931240">
              <w:rPr>
                <w:rStyle w:val="Hyperlnk"/>
                <w:noProof/>
              </w:rPr>
              <w:t>1.2</w:t>
            </w:r>
            <w:r w:rsidR="003121E6">
              <w:rPr>
                <w:rFonts w:asciiTheme="minorHAnsi" w:eastAsiaTheme="minorEastAsia" w:hAnsiTheme="minorHAnsi" w:cstheme="minorBidi"/>
                <w:noProof/>
                <w:color w:val="auto"/>
                <w:lang w:eastAsia="sv-SE"/>
              </w:rPr>
              <w:tab/>
            </w:r>
            <w:r w:rsidR="003121E6" w:rsidRPr="00931240">
              <w:rPr>
                <w:rStyle w:val="Hyperlnk"/>
                <w:noProof/>
              </w:rPr>
              <w:t>Prognos</w:t>
            </w:r>
            <w:r w:rsidR="003121E6">
              <w:rPr>
                <w:noProof/>
                <w:webHidden/>
              </w:rPr>
              <w:tab/>
            </w:r>
            <w:r w:rsidR="003121E6">
              <w:rPr>
                <w:noProof/>
                <w:webHidden/>
              </w:rPr>
              <w:fldChar w:fldCharType="begin"/>
            </w:r>
            <w:r w:rsidR="003121E6">
              <w:rPr>
                <w:noProof/>
                <w:webHidden/>
              </w:rPr>
              <w:instrText xml:space="preserve"> PAGEREF _Toc71705287 \h </w:instrText>
            </w:r>
            <w:r w:rsidR="003121E6">
              <w:rPr>
                <w:noProof/>
                <w:webHidden/>
              </w:rPr>
            </w:r>
            <w:r w:rsidR="003121E6">
              <w:rPr>
                <w:noProof/>
                <w:webHidden/>
              </w:rPr>
              <w:fldChar w:fldCharType="separate"/>
            </w:r>
            <w:r w:rsidR="003121E6">
              <w:rPr>
                <w:noProof/>
                <w:webHidden/>
              </w:rPr>
              <w:t>4</w:t>
            </w:r>
            <w:r w:rsidR="003121E6">
              <w:rPr>
                <w:noProof/>
                <w:webHidden/>
              </w:rPr>
              <w:fldChar w:fldCharType="end"/>
            </w:r>
          </w:hyperlink>
        </w:p>
        <w:p w:rsidR="008F5A3B" w:rsidRDefault="00B72364">
          <w:r>
            <w:fldChar w:fldCharType="end"/>
          </w:r>
        </w:p>
      </w:sdtContent>
    </w:sdt>
    <w:p w:rsidR="008F5A3B" w:rsidRDefault="00B72364">
      <w:r>
        <w:br w:type="page"/>
      </w:r>
    </w:p>
    <w:p w:rsidR="008F5A3B" w:rsidRDefault="00B72364">
      <w:pPr>
        <w:pStyle w:val="Rubrik1-Sidbryt"/>
      </w:pPr>
      <w:bookmarkStart w:id="0" w:name="_Toc71705285"/>
      <w:r>
        <w:lastRenderedPageBreak/>
        <w:t>Uppföljning av driftsbudget</w:t>
      </w:r>
      <w:bookmarkEnd w:id="0"/>
    </w:p>
    <w:p w:rsidR="008F5A3B" w:rsidRDefault="00B72364">
      <w:pPr>
        <w:pStyle w:val="Tabellrubrik"/>
      </w:pPr>
      <w:r>
        <w:t>Resultatredovisning i sammandrag</w:t>
      </w:r>
    </w:p>
    <w:tbl>
      <w:tblPr>
        <w:tblStyle w:val="Tabellrutnt"/>
        <w:tblOverlap w:val="never"/>
        <w:tblW w:w="8500" w:type="dxa"/>
        <w:tblLayout w:type="fixed"/>
        <w:tblLook w:val="04A0" w:firstRow="1" w:lastRow="0" w:firstColumn="1" w:lastColumn="0" w:noHBand="0" w:noVBand="1"/>
      </w:tblPr>
      <w:tblGrid>
        <w:gridCol w:w="1129"/>
        <w:gridCol w:w="913"/>
        <w:gridCol w:w="930"/>
        <w:gridCol w:w="851"/>
        <w:gridCol w:w="850"/>
        <w:gridCol w:w="992"/>
        <w:gridCol w:w="993"/>
        <w:gridCol w:w="850"/>
        <w:gridCol w:w="992"/>
      </w:tblGrid>
      <w:tr w:rsidR="008F5A3B" w:rsidTr="0023160C">
        <w:trPr>
          <w:cantSplit w:val="0"/>
        </w:trPr>
        <w:tc>
          <w:tcPr>
            <w:tcW w:w="1129" w:type="dxa"/>
            <w:tcBorders>
              <w:top w:val="single" w:sz="4" w:space="0" w:color="auto"/>
              <w:left w:val="single" w:sz="4" w:space="0" w:color="auto"/>
              <w:bottom w:val="nil"/>
              <w:right w:val="nil"/>
            </w:tcBorders>
            <w:shd w:val="clear" w:color="auto" w:fill="E5E5E5"/>
            <w:vAlign w:val="center"/>
          </w:tcPr>
          <w:p w:rsidR="008F5A3B" w:rsidRDefault="00B72364">
            <w:pPr>
              <w:pStyle w:val="Tabellcell"/>
            </w:pPr>
            <w:r>
              <w:rPr>
                <w:b/>
              </w:rPr>
              <w:t>Tkr</w:t>
            </w:r>
          </w:p>
        </w:tc>
        <w:tc>
          <w:tcPr>
            <w:tcW w:w="3544" w:type="dxa"/>
            <w:gridSpan w:val="4"/>
            <w:tcBorders>
              <w:top w:val="single" w:sz="4" w:space="0" w:color="auto"/>
              <w:left w:val="nil"/>
              <w:bottom w:val="single" w:sz="4" w:space="0" w:color="auto"/>
              <w:right w:val="nil"/>
            </w:tcBorders>
            <w:shd w:val="clear" w:color="auto" w:fill="E5E5E5"/>
            <w:vAlign w:val="bottom"/>
          </w:tcPr>
          <w:p w:rsidR="008F5A3B" w:rsidRDefault="00B72364">
            <w:pPr>
              <w:pStyle w:val="Tabellcell"/>
            </w:pPr>
            <w:r>
              <w:rPr>
                <w:b/>
              </w:rPr>
              <w:t>Period</w:t>
            </w:r>
          </w:p>
        </w:tc>
        <w:tc>
          <w:tcPr>
            <w:tcW w:w="3827" w:type="dxa"/>
            <w:gridSpan w:val="4"/>
            <w:tcBorders>
              <w:top w:val="single" w:sz="4" w:space="0" w:color="auto"/>
              <w:left w:val="nil"/>
              <w:bottom w:val="single" w:sz="4" w:space="0" w:color="auto"/>
              <w:right w:val="nil"/>
            </w:tcBorders>
            <w:shd w:val="clear" w:color="auto" w:fill="B4B4B4"/>
            <w:vAlign w:val="bottom"/>
          </w:tcPr>
          <w:p w:rsidR="008F5A3B" w:rsidRDefault="00B72364">
            <w:pPr>
              <w:pStyle w:val="Tabellcell"/>
            </w:pPr>
            <w:r>
              <w:rPr>
                <w:b/>
              </w:rPr>
              <w:t>Helår</w:t>
            </w:r>
          </w:p>
        </w:tc>
      </w:tr>
      <w:tr w:rsidR="008F5A3B" w:rsidTr="0023160C">
        <w:trPr>
          <w:cantSplit w:val="0"/>
        </w:trPr>
        <w:tc>
          <w:tcPr>
            <w:tcW w:w="1129" w:type="dxa"/>
            <w:tcBorders>
              <w:top w:val="nil"/>
              <w:left w:val="single" w:sz="4" w:space="0" w:color="auto"/>
              <w:bottom w:val="single" w:sz="18" w:space="0" w:color="auto"/>
              <w:right w:val="nil"/>
            </w:tcBorders>
            <w:shd w:val="clear" w:color="auto" w:fill="E5E5E5"/>
            <w:tcMar>
              <w:top w:w="0" w:type="dxa"/>
              <w:left w:w="0" w:type="dxa"/>
              <w:bottom w:w="0" w:type="dxa"/>
              <w:right w:w="0" w:type="dxa"/>
            </w:tcMar>
            <w:vAlign w:val="center"/>
          </w:tcPr>
          <w:p w:rsidR="008F5A3B" w:rsidRDefault="008F5A3B">
            <w:pPr>
              <w:pStyle w:val="Tabellcell"/>
            </w:pPr>
          </w:p>
        </w:tc>
        <w:tc>
          <w:tcPr>
            <w:tcW w:w="913" w:type="dxa"/>
            <w:tcBorders>
              <w:top w:val="single" w:sz="4" w:space="0" w:color="auto"/>
              <w:left w:val="nil"/>
              <w:bottom w:val="single" w:sz="18" w:space="0" w:color="auto"/>
              <w:right w:val="nil"/>
            </w:tcBorders>
            <w:shd w:val="clear" w:color="auto" w:fill="E5E5E5"/>
            <w:vAlign w:val="center"/>
          </w:tcPr>
          <w:p w:rsidR="008F5A3B" w:rsidRDefault="00B72364">
            <w:pPr>
              <w:pStyle w:val="Tabellcell"/>
              <w:jc w:val="center"/>
            </w:pPr>
            <w:r>
              <w:t>Utfall</w:t>
            </w:r>
          </w:p>
        </w:tc>
        <w:tc>
          <w:tcPr>
            <w:tcW w:w="930" w:type="dxa"/>
            <w:tcBorders>
              <w:top w:val="single" w:sz="4" w:space="0" w:color="auto"/>
              <w:left w:val="nil"/>
              <w:bottom w:val="single" w:sz="18" w:space="0" w:color="auto"/>
              <w:right w:val="nil"/>
            </w:tcBorders>
            <w:shd w:val="clear" w:color="auto" w:fill="E5E5E5"/>
            <w:vAlign w:val="center"/>
          </w:tcPr>
          <w:p w:rsidR="008F5A3B" w:rsidRDefault="00B72364">
            <w:pPr>
              <w:pStyle w:val="Tabellcell"/>
              <w:jc w:val="center"/>
            </w:pPr>
            <w:r>
              <w:t>Budget</w:t>
            </w:r>
          </w:p>
        </w:tc>
        <w:tc>
          <w:tcPr>
            <w:tcW w:w="851" w:type="dxa"/>
            <w:tcBorders>
              <w:top w:val="single" w:sz="4" w:space="0" w:color="auto"/>
              <w:left w:val="nil"/>
              <w:bottom w:val="single" w:sz="18" w:space="0" w:color="auto"/>
              <w:right w:val="nil"/>
            </w:tcBorders>
            <w:shd w:val="clear" w:color="auto" w:fill="E5E5E5"/>
            <w:vAlign w:val="center"/>
          </w:tcPr>
          <w:p w:rsidR="008F5A3B" w:rsidRDefault="00B72364">
            <w:pPr>
              <w:pStyle w:val="Tabellcell"/>
              <w:jc w:val="center"/>
            </w:pPr>
            <w:r>
              <w:t>Av</w:t>
            </w:r>
            <w:r w:rsidR="0023160C">
              <w:t>-</w:t>
            </w:r>
            <w:r>
              <w:t>vikelse</w:t>
            </w:r>
          </w:p>
        </w:tc>
        <w:tc>
          <w:tcPr>
            <w:tcW w:w="850" w:type="dxa"/>
            <w:tcBorders>
              <w:top w:val="single" w:sz="4" w:space="0" w:color="auto"/>
              <w:left w:val="nil"/>
              <w:bottom w:val="single" w:sz="18" w:space="0" w:color="auto"/>
              <w:right w:val="nil"/>
            </w:tcBorders>
            <w:shd w:val="clear" w:color="auto" w:fill="E5E5E5"/>
            <w:vAlign w:val="center"/>
          </w:tcPr>
          <w:p w:rsidR="008F5A3B" w:rsidRDefault="00B72364">
            <w:pPr>
              <w:pStyle w:val="Tabellcell"/>
              <w:jc w:val="center"/>
            </w:pPr>
            <w:r>
              <w:t>Utfall fg år</w:t>
            </w:r>
          </w:p>
        </w:tc>
        <w:tc>
          <w:tcPr>
            <w:tcW w:w="992" w:type="dxa"/>
            <w:tcBorders>
              <w:top w:val="single" w:sz="4" w:space="0" w:color="auto"/>
              <w:left w:val="nil"/>
              <w:bottom w:val="single" w:sz="18" w:space="0" w:color="auto"/>
              <w:right w:val="nil"/>
            </w:tcBorders>
            <w:shd w:val="clear" w:color="auto" w:fill="B4B4B4"/>
            <w:vAlign w:val="center"/>
          </w:tcPr>
          <w:p w:rsidR="008F5A3B" w:rsidRDefault="00B72364">
            <w:pPr>
              <w:pStyle w:val="Tabellcell"/>
              <w:jc w:val="center"/>
            </w:pPr>
            <w:r>
              <w:t>Prognos</w:t>
            </w:r>
          </w:p>
        </w:tc>
        <w:tc>
          <w:tcPr>
            <w:tcW w:w="993" w:type="dxa"/>
            <w:tcBorders>
              <w:top w:val="single" w:sz="4" w:space="0" w:color="auto"/>
              <w:left w:val="nil"/>
              <w:bottom w:val="single" w:sz="18" w:space="0" w:color="auto"/>
              <w:right w:val="nil"/>
            </w:tcBorders>
            <w:shd w:val="clear" w:color="auto" w:fill="B4B4B4"/>
            <w:vAlign w:val="center"/>
          </w:tcPr>
          <w:p w:rsidR="008F5A3B" w:rsidRDefault="00B72364">
            <w:pPr>
              <w:pStyle w:val="Tabellcell"/>
              <w:jc w:val="center"/>
            </w:pPr>
            <w:r>
              <w:t>Fg prognos</w:t>
            </w:r>
          </w:p>
        </w:tc>
        <w:tc>
          <w:tcPr>
            <w:tcW w:w="850" w:type="dxa"/>
            <w:tcBorders>
              <w:top w:val="single" w:sz="4" w:space="0" w:color="auto"/>
              <w:left w:val="nil"/>
              <w:bottom w:val="single" w:sz="18" w:space="0" w:color="auto"/>
              <w:right w:val="nil"/>
            </w:tcBorders>
            <w:shd w:val="clear" w:color="auto" w:fill="B4B4B4"/>
            <w:vAlign w:val="center"/>
          </w:tcPr>
          <w:p w:rsidR="008F5A3B" w:rsidRDefault="00B72364">
            <w:pPr>
              <w:pStyle w:val="Tabellcell"/>
              <w:jc w:val="center"/>
            </w:pPr>
            <w:r>
              <w:t>Budget</w:t>
            </w:r>
          </w:p>
        </w:tc>
        <w:tc>
          <w:tcPr>
            <w:tcW w:w="992" w:type="dxa"/>
            <w:tcBorders>
              <w:top w:val="single" w:sz="4" w:space="0" w:color="auto"/>
              <w:left w:val="nil"/>
              <w:bottom w:val="single" w:sz="18" w:space="0" w:color="auto"/>
              <w:right w:val="single" w:sz="4" w:space="0" w:color="auto"/>
            </w:tcBorders>
            <w:shd w:val="clear" w:color="auto" w:fill="B4B4B4"/>
            <w:vAlign w:val="center"/>
          </w:tcPr>
          <w:p w:rsidR="008F5A3B" w:rsidRDefault="00B72364">
            <w:pPr>
              <w:pStyle w:val="Tabellcell"/>
              <w:jc w:val="center"/>
            </w:pPr>
            <w:r>
              <w:t>Bokslut fg år</w:t>
            </w:r>
          </w:p>
        </w:tc>
      </w:tr>
      <w:tr w:rsidR="008F5A3B" w:rsidTr="0023160C">
        <w:trPr>
          <w:cantSplit w:val="0"/>
        </w:trPr>
        <w:tc>
          <w:tcPr>
            <w:tcW w:w="1129"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pPr>
            <w:r>
              <w:t>Intäkter</w:t>
            </w:r>
          </w:p>
        </w:tc>
        <w:tc>
          <w:tcPr>
            <w:tcW w:w="913"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20 800</w:t>
            </w:r>
          </w:p>
        </w:tc>
        <w:tc>
          <w:tcPr>
            <w:tcW w:w="930"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17 722</w:t>
            </w:r>
          </w:p>
        </w:tc>
        <w:tc>
          <w:tcPr>
            <w:tcW w:w="851"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3 078</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19 794</w:t>
            </w:r>
          </w:p>
        </w:tc>
        <w:tc>
          <w:tcPr>
            <w:tcW w:w="992"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57 920</w:t>
            </w:r>
          </w:p>
        </w:tc>
        <w:tc>
          <w:tcPr>
            <w:tcW w:w="993"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57 920</w:t>
            </w:r>
          </w:p>
        </w:tc>
        <w:tc>
          <w:tcPr>
            <w:tcW w:w="850"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56 622</w:t>
            </w:r>
          </w:p>
        </w:tc>
        <w:tc>
          <w:tcPr>
            <w:tcW w:w="992" w:type="dxa"/>
            <w:tcBorders>
              <w:top w:val="single" w:sz="18"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72 101</w:t>
            </w:r>
          </w:p>
        </w:tc>
      </w:tr>
      <w:tr w:rsidR="008F5A3B" w:rsidTr="0023160C">
        <w:trPr>
          <w:cantSplit w:val="0"/>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pPr>
            <w:r>
              <w:t>Kostnader</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-21 159</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-18 428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-2 731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-19 802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-55 890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-55 890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-54 216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-67 040</w:t>
            </w:r>
          </w:p>
        </w:tc>
      </w:tr>
      <w:tr w:rsidR="008F5A3B" w:rsidTr="0023160C">
        <w:trPr>
          <w:cantSplit w:val="0"/>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pPr>
            <w:r>
              <w:rPr>
                <w:b/>
              </w:rPr>
              <w:t>Rörelse</w:t>
            </w:r>
            <w:r w:rsidR="0023160C">
              <w:rPr>
                <w:b/>
              </w:rPr>
              <w:t>-</w:t>
            </w:r>
            <w:r>
              <w:rPr>
                <w:b/>
              </w:rPr>
              <w:t>resultat</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-359</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-706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347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2 030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2 030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2 406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t>5 061</w:t>
            </w:r>
          </w:p>
        </w:tc>
      </w:tr>
      <w:tr w:rsidR="008F5A3B" w:rsidTr="0023160C">
        <w:trPr>
          <w:cantSplit w:val="0"/>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pPr>
            <w:r>
              <w:t>Finansiella intäkter</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89</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89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97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240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240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269</w:t>
            </w:r>
          </w:p>
        </w:tc>
      </w:tr>
      <w:tr w:rsidR="008F5A3B" w:rsidTr="0023160C">
        <w:trPr>
          <w:cantSplit w:val="0"/>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pPr>
            <w:r>
              <w:t>Finansiella kostnader</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-1</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-1</w:t>
            </w:r>
          </w:p>
        </w:tc>
      </w:tr>
      <w:tr w:rsidR="008F5A3B" w:rsidTr="0023160C">
        <w:trPr>
          <w:cantSplit w:val="0"/>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pPr>
            <w:r>
              <w:rPr>
                <w:b/>
              </w:rPr>
              <w:t>Resultat efter fin. poster</w:t>
            </w:r>
          </w:p>
        </w:tc>
        <w:tc>
          <w:tcPr>
            <w:tcW w:w="91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-272</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-706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434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2 270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2 270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2 406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F5A3B" w:rsidRDefault="00B72364">
            <w:pPr>
              <w:pStyle w:val="Tabellcell"/>
              <w:jc w:val="right"/>
            </w:pPr>
            <w:r>
              <w:rPr>
                <w:b/>
              </w:rPr>
              <w:t>5 329</w:t>
            </w:r>
          </w:p>
        </w:tc>
      </w:tr>
    </w:tbl>
    <w:p w:rsidR="008F5A3B" w:rsidRDefault="00B72364">
      <w:pPr>
        <w:pStyle w:val="Fotnot"/>
        <w:widowControl w:val="0"/>
      </w:pPr>
      <w:r>
        <w:t>Fg prognos avser mars, som även återfinns i Delårsrapport mars.</w:t>
      </w:r>
    </w:p>
    <w:p w:rsidR="008F5A3B" w:rsidRDefault="00B72364">
      <w:pPr>
        <w:pStyle w:val="Rubrik2"/>
      </w:pPr>
      <w:bookmarkStart w:id="1" w:name="_Toc71705286"/>
      <w:r>
        <w:t>Utfall till och med perioden</w:t>
      </w:r>
      <w:bookmarkEnd w:id="1"/>
    </w:p>
    <w:p w:rsidR="008F5A3B" w:rsidRDefault="00B72364">
      <w:pPr>
        <w:pStyle w:val="BodyText"/>
        <w:widowControl w:val="0"/>
      </w:pPr>
      <w:r>
        <w:t xml:space="preserve">Intäkter: Totalt 2 800 tkr över budget, varav 609 tkr på Hållplatsservice, som under perioden haft stora uppdrag från VT avseende hantering av informationsmaterial samt arbeten med väderskydd. 2 070 tkr hör till Resurspoolen, som har fått uppdrag </w:t>
      </w:r>
      <w:bookmarkStart w:id="2" w:name="_GoBack"/>
      <w:bookmarkEnd w:id="2"/>
      <w:r>
        <w:t>avseende Trängselvärdar, vilket inte var budgeterat. NET har haft ökad försäljning av störningshantering med 388 tkr över budget. 180 tkr avser ersättning för ökade sjuklönekostnader på grund av pandemin. Övriga enheter har mindre avvikelser mot budget.</w:t>
      </w:r>
    </w:p>
    <w:p w:rsidR="008F5A3B" w:rsidRDefault="00B72364">
      <w:pPr>
        <w:pStyle w:val="BodyText"/>
        <w:widowControl w:val="0"/>
      </w:pPr>
      <w:r>
        <w:t>Kostnader:(Drift, material): Totalt 1 459 tkr över budget, varav 1 063 tkr på Resurspoolen. Hela överdraget där beror på kostnader för inhyrd personal, som sedan har fakturerats vidare till kund. Hållplatsservice ligger 192 tkr över budget, vilket beror på kostnader för bland annat transporter (som har fakturerats vidare till kund.) Mindre avvikelser på övriga enheter.</w:t>
      </w:r>
    </w:p>
    <w:p w:rsidR="008F5A3B" w:rsidRDefault="00B72364">
      <w:pPr>
        <w:pStyle w:val="BodyText"/>
        <w:widowControl w:val="0"/>
      </w:pPr>
      <w:r>
        <w:t xml:space="preserve">Kostnader (Övrigt): Totalt 1 005 tkr över budget. 430 tkr avser kostnader för konsulter som uppstått i samband med försäljning av bolaget. 256 tkr avser Hållplatsservice, som fakturerat vidare det mesta av kostnaderna för tex förbrukningsmaterial. Resterande avvikelser avser diverse, </w:t>
      </w:r>
      <w:proofErr w:type="spellStart"/>
      <w:r>
        <w:t>bla</w:t>
      </w:r>
      <w:proofErr w:type="spellEnd"/>
      <w:r>
        <w:t xml:space="preserve"> material som skall användas senare. Resten av avvikelsen består av tex datorinköp och reparation av fordon.</w:t>
      </w:r>
    </w:p>
    <w:p w:rsidR="008F5A3B" w:rsidRDefault="00B72364">
      <w:pPr>
        <w:pStyle w:val="Rubrik2"/>
      </w:pPr>
      <w:bookmarkStart w:id="3" w:name="_Toc71705287"/>
      <w:r>
        <w:t>Prognos</w:t>
      </w:r>
      <w:bookmarkEnd w:id="3"/>
    </w:p>
    <w:p w:rsidR="008F5A3B" w:rsidRDefault="00B72364">
      <w:pPr>
        <w:pStyle w:val="BodyText"/>
        <w:widowControl w:val="0"/>
      </w:pPr>
      <w:r>
        <w:t>Avvikelse mot prognosen är marginell och vi förväntar oss ökad omsättning som svarar upp mot prognos under andra halvåret.</w:t>
      </w:r>
    </w:p>
    <w:sectPr w:rsidR="008F5A3B">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016" w:rsidRDefault="00BA1016" w:rsidP="00FD14E4">
      <w:pPr>
        <w:spacing w:after="0" w:line="240" w:lineRule="auto"/>
      </w:pPr>
      <w:r>
        <w:separator/>
      </w:r>
    </w:p>
  </w:endnote>
  <w:endnote w:type="continuationSeparator" w:id="0">
    <w:p w:rsidR="00BA1016" w:rsidRDefault="00BA1016"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BA101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topFromText="851" w:vertAnchor="page" w:horzAnchor="page" w:tblpX="1419" w:tblpY="15650"/>
      <w:tblOverlap w:val="never"/>
      <w:tblW w:w="8520"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80" w:firstRow="0" w:lastRow="0" w:firstColumn="1" w:lastColumn="0" w:noHBand="0" w:noVBand="1"/>
    </w:tblPr>
    <w:tblGrid>
      <w:gridCol w:w="6946"/>
      <w:gridCol w:w="1574"/>
    </w:tblGrid>
    <w:tr w:rsidR="00C31ADA" w:rsidRPr="00C4334D" w:rsidTr="00646753">
      <w:trPr>
        <w:trHeight w:val="207"/>
      </w:trPr>
      <w:tc>
        <w:tcPr>
          <w:tcW w:w="6946" w:type="dxa"/>
        </w:tcPr>
        <w:p w:rsidR="00C31ADA" w:rsidRPr="0013286A" w:rsidRDefault="00B72364" w:rsidP="00DC5106">
          <w:pPr>
            <w:pStyle w:val="Sidfot"/>
            <w:spacing w:after="100"/>
            <w:rPr>
              <w:rFonts w:ascii="Arial" w:hAnsi="Arial" w:cs="Arial"/>
            </w:rPr>
          </w:pPr>
          <w:r w:rsidRPr="0013286A">
            <w:rPr>
              <w:rFonts w:ascii="Arial" w:hAnsi="Arial" w:cs="Arial"/>
            </w:rPr>
            <w:t>Extra månadsuppföljning april 2021 bolag</w:t>
          </w:r>
          <w:r>
            <w:rPr>
              <w:rFonts w:ascii="Arial" w:hAnsi="Arial" w:cs="Arial"/>
            </w:rPr>
            <w:t xml:space="preserve"> </w:t>
          </w:r>
        </w:p>
      </w:tc>
      <w:tc>
        <w:tcPr>
          <w:tcW w:w="1574" w:type="dxa"/>
        </w:tcPr>
        <w:p w:rsidR="00C31ADA" w:rsidRPr="00ED4363" w:rsidRDefault="00B72364" w:rsidP="00DC5106">
          <w:pPr>
            <w:pStyle w:val="Sidfot"/>
            <w:spacing w:after="100"/>
            <w:jc w:val="right"/>
            <w:rPr>
              <w:rFonts w:ascii="Arial" w:hAnsi="Arial" w:cs="Arial"/>
            </w:rPr>
          </w:pPr>
          <w:r w:rsidRPr="00ED4363">
            <w:rPr>
              <w:rFonts w:ascii="Arial" w:hAnsi="Arial" w:cs="Arial"/>
            </w:rPr>
            <w:fldChar w:fldCharType="begin"/>
          </w:r>
          <w:r w:rsidRPr="00ED4363">
            <w:rPr>
              <w:rFonts w:ascii="Arial" w:hAnsi="Arial" w:cs="Arial"/>
            </w:rPr>
            <w:instrText xml:space="preserve"> PAGE   \* MERGEFORMAT </w:instrText>
          </w:r>
          <w:r w:rsidRPr="00ED4363">
            <w:rPr>
              <w:rFonts w:ascii="Arial" w:hAnsi="Arial" w:cs="Arial"/>
            </w:rPr>
            <w:fldChar w:fldCharType="separate"/>
          </w:r>
          <w:r w:rsidRPr="00ED4363">
            <w:rPr>
              <w:rFonts w:ascii="Arial" w:hAnsi="Arial" w:cs="Arial"/>
              <w:noProof/>
            </w:rPr>
            <w:t>2</w:t>
          </w:r>
          <w:r w:rsidRPr="00ED4363">
            <w:rPr>
              <w:rFonts w:ascii="Arial" w:hAnsi="Arial" w:cs="Arial"/>
            </w:rPr>
            <w:fldChar w:fldCharType="end"/>
          </w:r>
          <w:r w:rsidRPr="00ED4363">
            <w:rPr>
              <w:rFonts w:ascii="Arial" w:hAnsi="Arial" w:cs="Arial"/>
            </w:rPr>
            <w:t xml:space="preserve"> (</w:t>
          </w:r>
          <w:r w:rsidRPr="00ED4363">
            <w:rPr>
              <w:rFonts w:ascii="Arial" w:hAnsi="Arial" w:cs="Arial"/>
              <w:noProof/>
            </w:rPr>
            <w:fldChar w:fldCharType="begin"/>
          </w:r>
          <w:r w:rsidRPr="00ED4363">
            <w:rPr>
              <w:rFonts w:ascii="Arial" w:hAnsi="Arial" w:cs="Arial"/>
              <w:noProof/>
            </w:rPr>
            <w:instrText xml:space="preserve"> NUMPAGES   \* MERGEFORMAT </w:instrText>
          </w:r>
          <w:r w:rsidRPr="00ED4363">
            <w:rPr>
              <w:rFonts w:ascii="Arial" w:hAnsi="Arial" w:cs="Arial"/>
              <w:noProof/>
            </w:rPr>
            <w:fldChar w:fldCharType="separate"/>
          </w:r>
          <w:r w:rsidRPr="00ED4363">
            <w:rPr>
              <w:rFonts w:ascii="Arial" w:hAnsi="Arial" w:cs="Arial"/>
              <w:noProof/>
            </w:rPr>
            <w:t>2</w:t>
          </w:r>
          <w:r w:rsidRPr="00ED4363">
            <w:rPr>
              <w:rFonts w:ascii="Arial" w:hAnsi="Arial" w:cs="Arial"/>
              <w:noProof/>
            </w:rPr>
            <w:fldChar w:fldCharType="end"/>
          </w:r>
          <w:r w:rsidRPr="00ED4363">
            <w:rPr>
              <w:rFonts w:ascii="Arial" w:hAnsi="Arial" w:cs="Arial"/>
            </w:rPr>
            <w:t>)</w:t>
          </w:r>
        </w:p>
      </w:tc>
    </w:tr>
    <w:tr w:rsidR="00C31ADA" w:rsidRPr="00AE7954" w:rsidTr="00646753">
      <w:trPr>
        <w:trHeight w:val="207"/>
      </w:trPr>
      <w:tc>
        <w:tcPr>
          <w:tcW w:w="6946" w:type="dxa"/>
        </w:tcPr>
        <w:p w:rsidR="00C31ADA" w:rsidRPr="00AE7954" w:rsidRDefault="00B72364" w:rsidP="00DC5106">
          <w:pPr>
            <w:pStyle w:val="Sidfot"/>
            <w:spacing w:after="100"/>
          </w:pPr>
          <w:r w:rsidRPr="0013286A">
            <w:rPr>
              <w:rFonts w:ascii="Arial" w:hAnsi="Arial" w:cs="Arial"/>
            </w:rPr>
            <w:t>GS Trafikantservice AB</w:t>
          </w:r>
        </w:p>
      </w:tc>
      <w:tc>
        <w:tcPr>
          <w:tcW w:w="1574" w:type="dxa"/>
        </w:tcPr>
        <w:p w:rsidR="00C31ADA" w:rsidRPr="0013286A" w:rsidRDefault="00BA1016" w:rsidP="00DC5106">
          <w:pPr>
            <w:pStyle w:val="Sidfot"/>
            <w:spacing w:after="100"/>
            <w:rPr>
              <w:rFonts w:ascii="Arial" w:hAnsi="Arial" w:cs="Arial"/>
            </w:rPr>
          </w:pPr>
        </w:p>
      </w:tc>
    </w:tr>
    <w:tr w:rsidR="00C31ADA" w:rsidTr="00094C55">
      <w:trPr>
        <w:trHeight w:val="207"/>
      </w:trPr>
      <w:tc>
        <w:tcPr>
          <w:tcW w:w="6946" w:type="dxa"/>
        </w:tcPr>
        <w:p w:rsidR="00C31ADA" w:rsidRPr="00460C9B" w:rsidRDefault="00BA1016" w:rsidP="00DC5106">
          <w:pPr>
            <w:pStyle w:val="Sidfot"/>
            <w:spacing w:after="100"/>
            <w:rPr>
              <w:rFonts w:ascii="Arial" w:hAnsi="Arial" w:cs="Arial"/>
            </w:rPr>
          </w:pPr>
        </w:p>
      </w:tc>
      <w:tc>
        <w:tcPr>
          <w:tcW w:w="1574" w:type="dxa"/>
          <w:vAlign w:val="center"/>
        </w:tcPr>
        <w:p w:rsidR="00C31ADA" w:rsidRPr="0013286A" w:rsidRDefault="00B72364" w:rsidP="00094C55">
          <w:pPr>
            <w:pStyle w:val="Sidfot"/>
            <w:spacing w:after="100"/>
            <w:jc w:val="right"/>
            <w:rPr>
              <w:rFonts w:ascii="Arial" w:hAnsi="Arial" w:cs="Arial"/>
            </w:rPr>
          </w:pPr>
          <w:r>
            <w:rPr>
              <w:rFonts w:ascii="Arial" w:hAnsi="Arial" w:cs="Arial"/>
            </w:rPr>
            <w:fldChar w:fldCharType="begin"/>
          </w:r>
          <w:r>
            <w:rPr>
              <w:rFonts w:ascii="Arial" w:hAnsi="Arial" w:cs="Arial"/>
            </w:rPr>
            <w:instrText xml:space="preserve"> CREATEDATE   \* MERGEFORMAT </w:instrText>
          </w:r>
          <w:r>
            <w:rPr>
              <w:rFonts w:ascii="Arial" w:hAnsi="Arial" w:cs="Arial"/>
            </w:rPr>
            <w:fldChar w:fldCharType="separate"/>
          </w:r>
          <w:r>
            <w:rPr>
              <w:rFonts w:ascii="Arial" w:hAnsi="Arial" w:cs="Arial"/>
              <w:noProof/>
            </w:rPr>
            <w:fldChar w:fldCharType="begin"/>
          </w:r>
          <w:r>
            <w:rPr>
              <w:rFonts w:ascii="Arial" w:hAnsi="Arial" w:cs="Arial"/>
              <w:noProof/>
            </w:rPr>
            <w:instrText xml:space="preserve"> CREATEDATE  \@ "yyyy-MM-dd"  \* MERGEFORMAT </w:instrText>
          </w:r>
          <w:r>
            <w:rPr>
              <w:rFonts w:ascii="Arial" w:hAnsi="Arial" w:cs="Arial"/>
              <w:noProof/>
            </w:rPr>
            <w:fldChar w:fldCharType="separate"/>
          </w:r>
          <w:r>
            <w:rPr>
              <w:rFonts w:ascii="Arial" w:hAnsi="Arial" w:cs="Arial"/>
              <w:noProof/>
            </w:rPr>
            <w:t>2021-02-23</w:t>
          </w:r>
          <w:r>
            <w:rPr>
              <w:rFonts w:ascii="Arial" w:hAnsi="Arial" w:cs="Arial"/>
              <w:noProof/>
            </w:rPr>
            <w:fldChar w:fldCharType="end"/>
          </w:r>
          <w:r>
            <w:rPr>
              <w:rFonts w:ascii="Arial" w:hAnsi="Arial" w:cs="Arial"/>
              <w:noProof/>
            </w:rPr>
            <w:t xml:space="preserve"> </w:t>
          </w:r>
          <w:r>
            <w:rPr>
              <w:rFonts w:ascii="Arial" w:hAnsi="Arial" w:cs="Arial"/>
            </w:rPr>
            <w:fldChar w:fldCharType="end"/>
          </w:r>
        </w:p>
      </w:tc>
    </w:tr>
  </w:tbl>
  <w:p w:rsidR="00A4116C" w:rsidRPr="00ED4363" w:rsidRDefault="00BA1016" w:rsidP="000A723F">
    <w:pPr>
      <w:pStyle w:val="Sidfo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BA10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016" w:rsidRDefault="00BA1016" w:rsidP="00FD14E4">
      <w:pPr>
        <w:spacing w:after="0" w:line="240" w:lineRule="auto"/>
      </w:pPr>
      <w:r>
        <w:separator/>
      </w:r>
    </w:p>
  </w:footnote>
  <w:footnote w:type="continuationSeparator" w:id="0">
    <w:p w:rsidR="00BA1016" w:rsidRDefault="00BA1016"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BA101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BA101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753" w:rsidRDefault="00BA10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B0017"/>
    <w:rsid w:val="001D0C89"/>
    <w:rsid w:val="001E34D9"/>
    <w:rsid w:val="0023160C"/>
    <w:rsid w:val="002A012C"/>
    <w:rsid w:val="002B32D9"/>
    <w:rsid w:val="00305336"/>
    <w:rsid w:val="003121E6"/>
    <w:rsid w:val="0031706A"/>
    <w:rsid w:val="00326D90"/>
    <w:rsid w:val="0033640E"/>
    <w:rsid w:val="00342AB7"/>
    <w:rsid w:val="003A40E9"/>
    <w:rsid w:val="003B4ABF"/>
    <w:rsid w:val="003D0963"/>
    <w:rsid w:val="00405E3D"/>
    <w:rsid w:val="00416ADD"/>
    <w:rsid w:val="004850B1"/>
    <w:rsid w:val="004A08E3"/>
    <w:rsid w:val="00503904"/>
    <w:rsid w:val="00514099"/>
    <w:rsid w:val="0057086E"/>
    <w:rsid w:val="005A4EDC"/>
    <w:rsid w:val="005E7669"/>
    <w:rsid w:val="00623030"/>
    <w:rsid w:val="00656BC9"/>
    <w:rsid w:val="006B74B7"/>
    <w:rsid w:val="00751C70"/>
    <w:rsid w:val="007A46F9"/>
    <w:rsid w:val="007A6F6A"/>
    <w:rsid w:val="007C438A"/>
    <w:rsid w:val="007D03BE"/>
    <w:rsid w:val="007F0C07"/>
    <w:rsid w:val="00803EA2"/>
    <w:rsid w:val="008277D0"/>
    <w:rsid w:val="008A28D0"/>
    <w:rsid w:val="008E1B36"/>
    <w:rsid w:val="008F5A3B"/>
    <w:rsid w:val="00932BB2"/>
    <w:rsid w:val="00962D10"/>
    <w:rsid w:val="00970054"/>
    <w:rsid w:val="009D0096"/>
    <w:rsid w:val="00A06539"/>
    <w:rsid w:val="00A24B46"/>
    <w:rsid w:val="00A33522"/>
    <w:rsid w:val="00A86C9B"/>
    <w:rsid w:val="00AA216E"/>
    <w:rsid w:val="00AB0EC1"/>
    <w:rsid w:val="00AD0A0D"/>
    <w:rsid w:val="00AF5336"/>
    <w:rsid w:val="00B161D4"/>
    <w:rsid w:val="00B50452"/>
    <w:rsid w:val="00B7025F"/>
    <w:rsid w:val="00B72364"/>
    <w:rsid w:val="00BA1016"/>
    <w:rsid w:val="00BE272B"/>
    <w:rsid w:val="00C23D5C"/>
    <w:rsid w:val="00C91C90"/>
    <w:rsid w:val="00CA18E8"/>
    <w:rsid w:val="00CA1E51"/>
    <w:rsid w:val="00CB0C4B"/>
    <w:rsid w:val="00CB7232"/>
    <w:rsid w:val="00D33F10"/>
    <w:rsid w:val="00D81E48"/>
    <w:rsid w:val="00E16E39"/>
    <w:rsid w:val="00E5254C"/>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DAB24"/>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BA96-7C2D-411E-B086-9C277A584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380</Words>
  <Characters>2017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 månadsuppföljning april 2021 bolag</dc:title>
  <dc:subject/>
  <dc:creator>Stratsys</dc:creator>
  <cp:keywords/>
  <dc:description/>
  <cp:lastModifiedBy>Helena Olsson</cp:lastModifiedBy>
  <cp:revision>3</cp:revision>
  <dcterms:created xsi:type="dcterms:W3CDTF">2021-05-12T07:52:00Z</dcterms:created>
  <dcterms:modified xsi:type="dcterms:W3CDTF">2021-05-12T07:54:00Z</dcterms:modified>
</cp:coreProperties>
</file>