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DF2" w:rsidRDefault="0016399A">
      <w:pPr>
        <w:pStyle w:val="Rubrik"/>
      </w:pPr>
      <w:r>
        <w:t>Delårsrapport mars 2021 Bolag</w:t>
      </w:r>
    </w:p>
    <w:p w:rsidR="00B35DF2" w:rsidRDefault="0016399A">
      <w:pPr>
        <w:pStyle w:val="Enhet"/>
      </w:pPr>
      <w:r>
        <w:t>Göteborgs Spårvägar AB</w:t>
      </w:r>
    </w:p>
    <w:p w:rsidR="00B35DF2" w:rsidRDefault="0016399A">
      <w:pPr>
        <w:pStyle w:val="Enhet"/>
      </w:pPr>
      <w:r>
        <w:t>2021</w:t>
      </w:r>
    </w:p>
    <w:p w:rsidR="00B35DF2" w:rsidRDefault="0016399A">
      <w:r>
        <w:br w:type="page"/>
      </w:r>
    </w:p>
    <w:sdt>
      <w:sdtPr>
        <w:rPr>
          <w:rFonts w:ascii="Times New Roman" w:eastAsia="Times New Roman" w:hAnsi="Times New Roman" w:cs="Times New Roman"/>
          <w:b w:val="0"/>
          <w:bCs w:val="0"/>
          <w:color w:val="auto"/>
          <w:sz w:val="22"/>
          <w:szCs w:val="22"/>
        </w:rPr>
        <w:id w:val="-1484690160"/>
        <w:docPartObj>
          <w:docPartGallery w:val="Table of Contents"/>
          <w:docPartUnique/>
        </w:docPartObj>
      </w:sdtPr>
      <w:sdtEndPr/>
      <w:sdtContent>
        <w:p w:rsidR="00B35DF2" w:rsidRDefault="0016399A">
          <w:pPr>
            <w:pStyle w:val="Innehllsfrteckningsrubrik"/>
          </w:pPr>
          <w:r>
            <w:t>Innehållsförteckning</w:t>
          </w:r>
        </w:p>
        <w:p w:rsidR="00B1624B" w:rsidRDefault="0016399A">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69310681" w:history="1">
            <w:r w:rsidR="00B1624B" w:rsidRPr="00F60292">
              <w:rPr>
                <w:rStyle w:val="Hyperlnk"/>
                <w:noProof/>
              </w:rPr>
              <w:t>1</w:t>
            </w:r>
            <w:r w:rsidR="00B1624B">
              <w:rPr>
                <w:rFonts w:asciiTheme="minorHAnsi" w:hAnsiTheme="minorHAnsi"/>
                <w:b w:val="0"/>
                <w:bCs w:val="0"/>
                <w:noProof/>
                <w:color w:val="auto"/>
                <w:lang w:eastAsia="sv-SE"/>
              </w:rPr>
              <w:tab/>
            </w:r>
            <w:r w:rsidR="00B1624B" w:rsidRPr="00F60292">
              <w:rPr>
                <w:rStyle w:val="Hyperlnk"/>
                <w:noProof/>
              </w:rPr>
              <w:t>Sammanfattning</w:t>
            </w:r>
            <w:r w:rsidR="00B1624B">
              <w:rPr>
                <w:noProof/>
                <w:webHidden/>
              </w:rPr>
              <w:tab/>
            </w:r>
            <w:r w:rsidR="00B1624B">
              <w:rPr>
                <w:noProof/>
                <w:webHidden/>
              </w:rPr>
              <w:fldChar w:fldCharType="begin"/>
            </w:r>
            <w:r w:rsidR="00B1624B">
              <w:rPr>
                <w:noProof/>
                <w:webHidden/>
              </w:rPr>
              <w:instrText xml:space="preserve"> PAGEREF _Toc69310681 \h </w:instrText>
            </w:r>
            <w:r w:rsidR="00B1624B">
              <w:rPr>
                <w:noProof/>
                <w:webHidden/>
              </w:rPr>
            </w:r>
            <w:r w:rsidR="00B1624B">
              <w:rPr>
                <w:noProof/>
                <w:webHidden/>
              </w:rPr>
              <w:fldChar w:fldCharType="separate"/>
            </w:r>
            <w:r w:rsidR="00B1624B">
              <w:rPr>
                <w:noProof/>
                <w:webHidden/>
              </w:rPr>
              <w:t>3</w:t>
            </w:r>
            <w:r w:rsidR="00B1624B">
              <w:rPr>
                <w:noProof/>
                <w:webHidden/>
              </w:rPr>
              <w:fldChar w:fldCharType="end"/>
            </w:r>
          </w:hyperlink>
        </w:p>
        <w:p w:rsidR="00B1624B" w:rsidRDefault="005C34BE">
          <w:pPr>
            <w:pStyle w:val="Innehll1"/>
            <w:rPr>
              <w:rFonts w:asciiTheme="minorHAnsi" w:hAnsiTheme="minorHAnsi"/>
              <w:b w:val="0"/>
              <w:bCs w:val="0"/>
              <w:noProof/>
              <w:color w:val="auto"/>
              <w:lang w:eastAsia="sv-SE"/>
            </w:rPr>
          </w:pPr>
          <w:hyperlink w:anchor="_Toc69310682" w:history="1">
            <w:r w:rsidR="00B1624B" w:rsidRPr="00F60292">
              <w:rPr>
                <w:rStyle w:val="Hyperlnk"/>
                <w:noProof/>
              </w:rPr>
              <w:t>2</w:t>
            </w:r>
            <w:r w:rsidR="00B1624B">
              <w:rPr>
                <w:rFonts w:asciiTheme="minorHAnsi" w:hAnsiTheme="minorHAnsi"/>
                <w:b w:val="0"/>
                <w:bCs w:val="0"/>
                <w:noProof/>
                <w:color w:val="auto"/>
                <w:lang w:eastAsia="sv-SE"/>
              </w:rPr>
              <w:tab/>
            </w:r>
            <w:r w:rsidR="00B1624B" w:rsidRPr="00F60292">
              <w:rPr>
                <w:rStyle w:val="Hyperlnk"/>
                <w:noProof/>
              </w:rPr>
              <w:t>Väsentlig styrinformation till kommunstyrelsen</w:t>
            </w:r>
            <w:r w:rsidR="00B1624B">
              <w:rPr>
                <w:noProof/>
                <w:webHidden/>
              </w:rPr>
              <w:tab/>
            </w:r>
            <w:r w:rsidR="00B1624B">
              <w:rPr>
                <w:noProof/>
                <w:webHidden/>
              </w:rPr>
              <w:fldChar w:fldCharType="begin"/>
            </w:r>
            <w:r w:rsidR="00B1624B">
              <w:rPr>
                <w:noProof/>
                <w:webHidden/>
              </w:rPr>
              <w:instrText xml:space="preserve"> PAGEREF _Toc69310682 \h </w:instrText>
            </w:r>
            <w:r w:rsidR="00B1624B">
              <w:rPr>
                <w:noProof/>
                <w:webHidden/>
              </w:rPr>
            </w:r>
            <w:r w:rsidR="00B1624B">
              <w:rPr>
                <w:noProof/>
                <w:webHidden/>
              </w:rPr>
              <w:fldChar w:fldCharType="separate"/>
            </w:r>
            <w:r w:rsidR="00B1624B">
              <w:rPr>
                <w:noProof/>
                <w:webHidden/>
              </w:rPr>
              <w:t>4</w:t>
            </w:r>
            <w:r w:rsidR="00B1624B">
              <w:rPr>
                <w:noProof/>
                <w:webHidden/>
              </w:rPr>
              <w:fldChar w:fldCharType="end"/>
            </w:r>
          </w:hyperlink>
        </w:p>
        <w:p w:rsidR="00B1624B" w:rsidRDefault="005C34BE">
          <w:pPr>
            <w:pStyle w:val="Innehll2"/>
            <w:rPr>
              <w:rFonts w:asciiTheme="minorHAnsi" w:eastAsiaTheme="minorEastAsia" w:hAnsiTheme="minorHAnsi" w:cstheme="minorBidi"/>
              <w:noProof/>
              <w:color w:val="auto"/>
              <w:lang w:eastAsia="sv-SE"/>
            </w:rPr>
          </w:pPr>
          <w:hyperlink w:anchor="_Toc69310683" w:history="1">
            <w:r w:rsidR="00B1624B" w:rsidRPr="00F60292">
              <w:rPr>
                <w:rStyle w:val="Hyperlnk"/>
                <w:noProof/>
              </w:rPr>
              <w:t>2.1</w:t>
            </w:r>
            <w:r w:rsidR="00B1624B">
              <w:rPr>
                <w:rFonts w:asciiTheme="minorHAnsi" w:eastAsiaTheme="minorEastAsia" w:hAnsiTheme="minorHAnsi" w:cstheme="minorBidi"/>
                <w:noProof/>
                <w:color w:val="auto"/>
                <w:lang w:eastAsia="sv-SE"/>
              </w:rPr>
              <w:tab/>
            </w:r>
            <w:r w:rsidR="00B1624B" w:rsidRPr="00F60292">
              <w:rPr>
                <w:rStyle w:val="Hyperlnk"/>
                <w:noProof/>
              </w:rPr>
              <w:t>Verksamhetens utveckling</w:t>
            </w:r>
            <w:r w:rsidR="00B1624B">
              <w:rPr>
                <w:noProof/>
                <w:webHidden/>
              </w:rPr>
              <w:tab/>
            </w:r>
            <w:r w:rsidR="00B1624B">
              <w:rPr>
                <w:noProof/>
                <w:webHidden/>
              </w:rPr>
              <w:fldChar w:fldCharType="begin"/>
            </w:r>
            <w:r w:rsidR="00B1624B">
              <w:rPr>
                <w:noProof/>
                <w:webHidden/>
              </w:rPr>
              <w:instrText xml:space="preserve"> PAGEREF _Toc69310683 \h </w:instrText>
            </w:r>
            <w:r w:rsidR="00B1624B">
              <w:rPr>
                <w:noProof/>
                <w:webHidden/>
              </w:rPr>
            </w:r>
            <w:r w:rsidR="00B1624B">
              <w:rPr>
                <w:noProof/>
                <w:webHidden/>
              </w:rPr>
              <w:fldChar w:fldCharType="separate"/>
            </w:r>
            <w:r w:rsidR="00B1624B">
              <w:rPr>
                <w:noProof/>
                <w:webHidden/>
              </w:rPr>
              <w:t>4</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84" w:history="1">
            <w:r w:rsidR="00B1624B" w:rsidRPr="00F60292">
              <w:rPr>
                <w:rStyle w:val="Hyperlnk"/>
                <w:noProof/>
              </w:rPr>
              <w:t>2.1.1</w:t>
            </w:r>
            <w:r w:rsidR="00B1624B">
              <w:rPr>
                <w:rFonts w:asciiTheme="minorHAnsi" w:eastAsiaTheme="minorEastAsia" w:hAnsiTheme="minorHAnsi" w:cstheme="minorBidi"/>
                <w:noProof/>
                <w:color w:val="auto"/>
                <w:lang w:eastAsia="sv-SE"/>
              </w:rPr>
              <w:tab/>
            </w:r>
            <w:r w:rsidR="00B1624B" w:rsidRPr="00F60292">
              <w:rPr>
                <w:rStyle w:val="Hyperlnk"/>
                <w:noProof/>
              </w:rPr>
              <w:t>Mått/nyckeltal som beskriver verksamhetens utveckling</w:t>
            </w:r>
            <w:r w:rsidR="00B1624B">
              <w:rPr>
                <w:noProof/>
                <w:webHidden/>
              </w:rPr>
              <w:tab/>
            </w:r>
            <w:r w:rsidR="00B1624B">
              <w:rPr>
                <w:noProof/>
                <w:webHidden/>
              </w:rPr>
              <w:fldChar w:fldCharType="begin"/>
            </w:r>
            <w:r w:rsidR="00B1624B">
              <w:rPr>
                <w:noProof/>
                <w:webHidden/>
              </w:rPr>
              <w:instrText xml:space="preserve"> PAGEREF _Toc69310684 \h </w:instrText>
            </w:r>
            <w:r w:rsidR="00B1624B">
              <w:rPr>
                <w:noProof/>
                <w:webHidden/>
              </w:rPr>
            </w:r>
            <w:r w:rsidR="00B1624B">
              <w:rPr>
                <w:noProof/>
                <w:webHidden/>
              </w:rPr>
              <w:fldChar w:fldCharType="separate"/>
            </w:r>
            <w:r w:rsidR="00B1624B">
              <w:rPr>
                <w:noProof/>
                <w:webHidden/>
              </w:rPr>
              <w:t>4</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85" w:history="1">
            <w:r w:rsidR="00B1624B" w:rsidRPr="00F60292">
              <w:rPr>
                <w:rStyle w:val="Hyperlnk"/>
                <w:noProof/>
              </w:rPr>
              <w:t>2.1.2</w:t>
            </w:r>
            <w:r w:rsidR="00B1624B">
              <w:rPr>
                <w:rFonts w:asciiTheme="minorHAnsi" w:eastAsiaTheme="minorEastAsia" w:hAnsiTheme="minorHAnsi" w:cstheme="minorBidi"/>
                <w:noProof/>
                <w:color w:val="auto"/>
                <w:lang w:eastAsia="sv-SE"/>
              </w:rPr>
              <w:tab/>
            </w:r>
            <w:r w:rsidR="00B1624B" w:rsidRPr="00F60292">
              <w:rPr>
                <w:rStyle w:val="Hyperlnk"/>
                <w:noProof/>
              </w:rPr>
              <w:t>Väsentliga avvikelser i verksamhetens utveckling</w:t>
            </w:r>
            <w:r w:rsidR="00B1624B">
              <w:rPr>
                <w:noProof/>
                <w:webHidden/>
              </w:rPr>
              <w:tab/>
            </w:r>
            <w:r w:rsidR="00B1624B">
              <w:rPr>
                <w:noProof/>
                <w:webHidden/>
              </w:rPr>
              <w:fldChar w:fldCharType="begin"/>
            </w:r>
            <w:r w:rsidR="00B1624B">
              <w:rPr>
                <w:noProof/>
                <w:webHidden/>
              </w:rPr>
              <w:instrText xml:space="preserve"> PAGEREF _Toc69310685 \h </w:instrText>
            </w:r>
            <w:r w:rsidR="00B1624B">
              <w:rPr>
                <w:noProof/>
                <w:webHidden/>
              </w:rPr>
            </w:r>
            <w:r w:rsidR="00B1624B">
              <w:rPr>
                <w:noProof/>
                <w:webHidden/>
              </w:rPr>
              <w:fldChar w:fldCharType="separate"/>
            </w:r>
            <w:r w:rsidR="00B1624B">
              <w:rPr>
                <w:noProof/>
                <w:webHidden/>
              </w:rPr>
              <w:t>5</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86" w:history="1">
            <w:r w:rsidR="00B1624B" w:rsidRPr="00F60292">
              <w:rPr>
                <w:rStyle w:val="Hyperlnk"/>
                <w:noProof/>
              </w:rPr>
              <w:t>2.1.3</w:t>
            </w:r>
            <w:r w:rsidR="00B1624B">
              <w:rPr>
                <w:rFonts w:asciiTheme="minorHAnsi" w:eastAsiaTheme="minorEastAsia" w:hAnsiTheme="minorHAnsi" w:cstheme="minorBidi"/>
                <w:noProof/>
                <w:color w:val="auto"/>
                <w:lang w:eastAsia="sv-SE"/>
              </w:rPr>
              <w:tab/>
            </w:r>
            <w:r w:rsidR="00B1624B" w:rsidRPr="00F60292">
              <w:rPr>
                <w:rStyle w:val="Hyperlnk"/>
                <w:noProof/>
              </w:rPr>
              <w:t>Övrig väsentlig information till kommunstyrelsen</w:t>
            </w:r>
            <w:r w:rsidR="00B1624B">
              <w:rPr>
                <w:noProof/>
                <w:webHidden/>
              </w:rPr>
              <w:tab/>
            </w:r>
            <w:r w:rsidR="00B1624B">
              <w:rPr>
                <w:noProof/>
                <w:webHidden/>
              </w:rPr>
              <w:fldChar w:fldCharType="begin"/>
            </w:r>
            <w:r w:rsidR="00B1624B">
              <w:rPr>
                <w:noProof/>
                <w:webHidden/>
              </w:rPr>
              <w:instrText xml:space="preserve"> PAGEREF _Toc69310686 \h </w:instrText>
            </w:r>
            <w:r w:rsidR="00B1624B">
              <w:rPr>
                <w:noProof/>
                <w:webHidden/>
              </w:rPr>
            </w:r>
            <w:r w:rsidR="00B1624B">
              <w:rPr>
                <w:noProof/>
                <w:webHidden/>
              </w:rPr>
              <w:fldChar w:fldCharType="separate"/>
            </w:r>
            <w:r w:rsidR="00B1624B">
              <w:rPr>
                <w:noProof/>
                <w:webHidden/>
              </w:rPr>
              <w:t>5</w:t>
            </w:r>
            <w:r w:rsidR="00B1624B">
              <w:rPr>
                <w:noProof/>
                <w:webHidden/>
              </w:rPr>
              <w:fldChar w:fldCharType="end"/>
            </w:r>
          </w:hyperlink>
        </w:p>
        <w:p w:rsidR="00B1624B" w:rsidRDefault="005C34BE">
          <w:pPr>
            <w:pStyle w:val="Innehll2"/>
            <w:rPr>
              <w:rFonts w:asciiTheme="minorHAnsi" w:eastAsiaTheme="minorEastAsia" w:hAnsiTheme="minorHAnsi" w:cstheme="minorBidi"/>
              <w:noProof/>
              <w:color w:val="auto"/>
              <w:lang w:eastAsia="sv-SE"/>
            </w:rPr>
          </w:pPr>
          <w:hyperlink w:anchor="_Toc69310687" w:history="1">
            <w:r w:rsidR="00B1624B" w:rsidRPr="00F60292">
              <w:rPr>
                <w:rStyle w:val="Hyperlnk"/>
                <w:noProof/>
              </w:rPr>
              <w:t>2.2</w:t>
            </w:r>
            <w:r w:rsidR="00B1624B">
              <w:rPr>
                <w:rFonts w:asciiTheme="minorHAnsi" w:eastAsiaTheme="minorEastAsia" w:hAnsiTheme="minorHAnsi" w:cstheme="minorBidi"/>
                <w:noProof/>
                <w:color w:val="auto"/>
                <w:lang w:eastAsia="sv-SE"/>
              </w:rPr>
              <w:tab/>
            </w:r>
            <w:r w:rsidR="00B1624B" w:rsidRPr="00F60292">
              <w:rPr>
                <w:rStyle w:val="Hyperlnk"/>
                <w:noProof/>
              </w:rPr>
              <w:t>Kommunfullmäktiges budgetmål</w:t>
            </w:r>
            <w:r w:rsidR="00B1624B">
              <w:rPr>
                <w:noProof/>
                <w:webHidden/>
              </w:rPr>
              <w:tab/>
            </w:r>
            <w:r w:rsidR="00B1624B">
              <w:rPr>
                <w:noProof/>
                <w:webHidden/>
              </w:rPr>
              <w:fldChar w:fldCharType="begin"/>
            </w:r>
            <w:r w:rsidR="00B1624B">
              <w:rPr>
                <w:noProof/>
                <w:webHidden/>
              </w:rPr>
              <w:instrText xml:space="preserve"> PAGEREF _Toc69310687 \h </w:instrText>
            </w:r>
            <w:r w:rsidR="00B1624B">
              <w:rPr>
                <w:noProof/>
                <w:webHidden/>
              </w:rPr>
            </w:r>
            <w:r w:rsidR="00B1624B">
              <w:rPr>
                <w:noProof/>
                <w:webHidden/>
              </w:rPr>
              <w:fldChar w:fldCharType="separate"/>
            </w:r>
            <w:r w:rsidR="00B1624B">
              <w:rPr>
                <w:noProof/>
                <w:webHidden/>
              </w:rPr>
              <w:t>5</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88" w:history="1">
            <w:r w:rsidR="00B1624B" w:rsidRPr="00F60292">
              <w:rPr>
                <w:rStyle w:val="Hyperlnk"/>
                <w:noProof/>
              </w:rPr>
              <w:t>2.2.1</w:t>
            </w:r>
            <w:r w:rsidR="00B1624B">
              <w:rPr>
                <w:rFonts w:asciiTheme="minorHAnsi" w:eastAsiaTheme="minorEastAsia" w:hAnsiTheme="minorHAnsi" w:cstheme="minorBidi"/>
                <w:noProof/>
                <w:color w:val="auto"/>
                <w:lang w:eastAsia="sv-SE"/>
              </w:rPr>
              <w:tab/>
            </w:r>
            <w:r w:rsidR="00B1624B" w:rsidRPr="00F60292">
              <w:rPr>
                <w:rStyle w:val="Hyperlnk"/>
                <w:noProof/>
              </w:rPr>
              <w:t>Organisationsmål</w:t>
            </w:r>
            <w:r w:rsidR="00B1624B">
              <w:rPr>
                <w:noProof/>
                <w:webHidden/>
              </w:rPr>
              <w:tab/>
            </w:r>
            <w:r w:rsidR="00B1624B">
              <w:rPr>
                <w:noProof/>
                <w:webHidden/>
              </w:rPr>
              <w:fldChar w:fldCharType="begin"/>
            </w:r>
            <w:r w:rsidR="00B1624B">
              <w:rPr>
                <w:noProof/>
                <w:webHidden/>
              </w:rPr>
              <w:instrText xml:space="preserve"> PAGEREF _Toc69310688 \h </w:instrText>
            </w:r>
            <w:r w:rsidR="00B1624B">
              <w:rPr>
                <w:noProof/>
                <w:webHidden/>
              </w:rPr>
            </w:r>
            <w:r w:rsidR="00B1624B">
              <w:rPr>
                <w:noProof/>
                <w:webHidden/>
              </w:rPr>
              <w:fldChar w:fldCharType="separate"/>
            </w:r>
            <w:r w:rsidR="00B1624B">
              <w:rPr>
                <w:noProof/>
                <w:webHidden/>
              </w:rPr>
              <w:t>5</w:t>
            </w:r>
            <w:r w:rsidR="00B1624B">
              <w:rPr>
                <w:noProof/>
                <w:webHidden/>
              </w:rPr>
              <w:fldChar w:fldCharType="end"/>
            </w:r>
          </w:hyperlink>
        </w:p>
        <w:p w:rsidR="00B1624B" w:rsidRDefault="005C34BE">
          <w:pPr>
            <w:pStyle w:val="Innehll1"/>
            <w:rPr>
              <w:rFonts w:asciiTheme="minorHAnsi" w:hAnsiTheme="minorHAnsi"/>
              <w:b w:val="0"/>
              <w:bCs w:val="0"/>
              <w:noProof/>
              <w:color w:val="auto"/>
              <w:lang w:eastAsia="sv-SE"/>
            </w:rPr>
          </w:pPr>
          <w:hyperlink w:anchor="_Toc69310689" w:history="1">
            <w:r w:rsidR="00B1624B" w:rsidRPr="00F60292">
              <w:rPr>
                <w:rStyle w:val="Hyperlnk"/>
                <w:noProof/>
              </w:rPr>
              <w:t>3</w:t>
            </w:r>
            <w:r w:rsidR="00B1624B">
              <w:rPr>
                <w:rFonts w:asciiTheme="minorHAnsi" w:hAnsiTheme="minorHAnsi"/>
                <w:b w:val="0"/>
                <w:bCs w:val="0"/>
                <w:noProof/>
                <w:color w:val="auto"/>
                <w:lang w:eastAsia="sv-SE"/>
              </w:rPr>
              <w:tab/>
            </w:r>
            <w:r w:rsidR="00B1624B" w:rsidRPr="00F60292">
              <w:rPr>
                <w:rStyle w:val="Hyperlnk"/>
                <w:noProof/>
              </w:rPr>
              <w:t>Övrig uppföljning till kommunstyrelsen</w:t>
            </w:r>
            <w:r w:rsidR="00B1624B">
              <w:rPr>
                <w:noProof/>
                <w:webHidden/>
              </w:rPr>
              <w:tab/>
            </w:r>
            <w:r w:rsidR="00B1624B">
              <w:rPr>
                <w:noProof/>
                <w:webHidden/>
              </w:rPr>
              <w:fldChar w:fldCharType="begin"/>
            </w:r>
            <w:r w:rsidR="00B1624B">
              <w:rPr>
                <w:noProof/>
                <w:webHidden/>
              </w:rPr>
              <w:instrText xml:space="preserve"> PAGEREF _Toc69310689 \h </w:instrText>
            </w:r>
            <w:r w:rsidR="00B1624B">
              <w:rPr>
                <w:noProof/>
                <w:webHidden/>
              </w:rPr>
            </w:r>
            <w:r w:rsidR="00B1624B">
              <w:rPr>
                <w:noProof/>
                <w:webHidden/>
              </w:rPr>
              <w:fldChar w:fldCharType="separate"/>
            </w:r>
            <w:r w:rsidR="00B1624B">
              <w:rPr>
                <w:noProof/>
                <w:webHidden/>
              </w:rPr>
              <w:t>7</w:t>
            </w:r>
            <w:r w:rsidR="00B1624B">
              <w:rPr>
                <w:noProof/>
                <w:webHidden/>
              </w:rPr>
              <w:fldChar w:fldCharType="end"/>
            </w:r>
          </w:hyperlink>
        </w:p>
        <w:p w:rsidR="00B1624B" w:rsidRDefault="005C34BE">
          <w:pPr>
            <w:pStyle w:val="Innehll2"/>
            <w:rPr>
              <w:rFonts w:asciiTheme="minorHAnsi" w:eastAsiaTheme="minorEastAsia" w:hAnsiTheme="minorHAnsi" w:cstheme="minorBidi"/>
              <w:noProof/>
              <w:color w:val="auto"/>
              <w:lang w:eastAsia="sv-SE"/>
            </w:rPr>
          </w:pPr>
          <w:hyperlink w:anchor="_Toc69310690" w:history="1">
            <w:r w:rsidR="00B1624B" w:rsidRPr="00F60292">
              <w:rPr>
                <w:rStyle w:val="Hyperlnk"/>
                <w:noProof/>
              </w:rPr>
              <w:t>3.1</w:t>
            </w:r>
            <w:r w:rsidR="00B1624B">
              <w:rPr>
                <w:rFonts w:asciiTheme="minorHAnsi" w:eastAsiaTheme="minorEastAsia" w:hAnsiTheme="minorHAnsi" w:cstheme="minorBidi"/>
                <w:noProof/>
                <w:color w:val="auto"/>
                <w:lang w:eastAsia="sv-SE"/>
              </w:rPr>
              <w:tab/>
            </w:r>
            <w:r w:rsidR="00B1624B" w:rsidRPr="00F60292">
              <w:rPr>
                <w:rStyle w:val="Hyperlnk"/>
                <w:noProof/>
              </w:rPr>
              <w:t>Utveckling inom personalområdet</w:t>
            </w:r>
            <w:r w:rsidR="00B1624B">
              <w:rPr>
                <w:noProof/>
                <w:webHidden/>
              </w:rPr>
              <w:tab/>
            </w:r>
            <w:r w:rsidR="00B1624B">
              <w:rPr>
                <w:noProof/>
                <w:webHidden/>
              </w:rPr>
              <w:fldChar w:fldCharType="begin"/>
            </w:r>
            <w:r w:rsidR="00B1624B">
              <w:rPr>
                <w:noProof/>
                <w:webHidden/>
              </w:rPr>
              <w:instrText xml:space="preserve"> PAGEREF _Toc69310690 \h </w:instrText>
            </w:r>
            <w:r w:rsidR="00B1624B">
              <w:rPr>
                <w:noProof/>
                <w:webHidden/>
              </w:rPr>
            </w:r>
            <w:r w:rsidR="00B1624B">
              <w:rPr>
                <w:noProof/>
                <w:webHidden/>
              </w:rPr>
              <w:fldChar w:fldCharType="separate"/>
            </w:r>
            <w:r w:rsidR="00B1624B">
              <w:rPr>
                <w:noProof/>
                <w:webHidden/>
              </w:rPr>
              <w:t>7</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1" w:history="1">
            <w:r w:rsidR="00B1624B" w:rsidRPr="00F60292">
              <w:rPr>
                <w:rStyle w:val="Hyperlnk"/>
                <w:noProof/>
              </w:rPr>
              <w:t>3.1.1</w:t>
            </w:r>
            <w:r w:rsidR="00B1624B">
              <w:rPr>
                <w:rFonts w:asciiTheme="minorHAnsi" w:eastAsiaTheme="minorEastAsia" w:hAnsiTheme="minorHAnsi" w:cstheme="minorBidi"/>
                <w:noProof/>
                <w:color w:val="auto"/>
                <w:lang w:eastAsia="sv-SE"/>
              </w:rPr>
              <w:tab/>
            </w:r>
            <w:r w:rsidR="00B1624B" w:rsidRPr="00F60292">
              <w:rPr>
                <w:rStyle w:val="Hyperlnk"/>
                <w:noProof/>
              </w:rPr>
              <w:t>Mått/nyckeltal som beskriver utvecklingen ur ett HR-perspektiv</w:t>
            </w:r>
            <w:r w:rsidR="00B1624B">
              <w:rPr>
                <w:noProof/>
                <w:webHidden/>
              </w:rPr>
              <w:tab/>
            </w:r>
            <w:r w:rsidR="00B1624B">
              <w:rPr>
                <w:noProof/>
                <w:webHidden/>
              </w:rPr>
              <w:fldChar w:fldCharType="begin"/>
            </w:r>
            <w:r w:rsidR="00B1624B">
              <w:rPr>
                <w:noProof/>
                <w:webHidden/>
              </w:rPr>
              <w:instrText xml:space="preserve"> PAGEREF _Toc69310691 \h </w:instrText>
            </w:r>
            <w:r w:rsidR="00B1624B">
              <w:rPr>
                <w:noProof/>
                <w:webHidden/>
              </w:rPr>
            </w:r>
            <w:r w:rsidR="00B1624B">
              <w:rPr>
                <w:noProof/>
                <w:webHidden/>
              </w:rPr>
              <w:fldChar w:fldCharType="separate"/>
            </w:r>
            <w:r w:rsidR="00B1624B">
              <w:rPr>
                <w:noProof/>
                <w:webHidden/>
              </w:rPr>
              <w:t>7</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2" w:history="1">
            <w:r w:rsidR="00B1624B" w:rsidRPr="00F60292">
              <w:rPr>
                <w:rStyle w:val="Hyperlnk"/>
                <w:noProof/>
              </w:rPr>
              <w:t>3.1.2</w:t>
            </w:r>
            <w:r w:rsidR="00B1624B">
              <w:rPr>
                <w:rFonts w:asciiTheme="minorHAnsi" w:eastAsiaTheme="minorEastAsia" w:hAnsiTheme="minorHAnsi" w:cstheme="minorBidi"/>
                <w:noProof/>
                <w:color w:val="auto"/>
                <w:lang w:eastAsia="sv-SE"/>
              </w:rPr>
              <w:tab/>
            </w:r>
            <w:r w:rsidR="00B1624B" w:rsidRPr="00F60292">
              <w:rPr>
                <w:rStyle w:val="Hyperlnk"/>
                <w:noProof/>
              </w:rPr>
              <w:t>Analys av situationen inom HR-området</w:t>
            </w:r>
            <w:r w:rsidR="00B1624B">
              <w:rPr>
                <w:noProof/>
                <w:webHidden/>
              </w:rPr>
              <w:tab/>
            </w:r>
            <w:r w:rsidR="00B1624B">
              <w:rPr>
                <w:noProof/>
                <w:webHidden/>
              </w:rPr>
              <w:fldChar w:fldCharType="begin"/>
            </w:r>
            <w:r w:rsidR="00B1624B">
              <w:rPr>
                <w:noProof/>
                <w:webHidden/>
              </w:rPr>
              <w:instrText xml:space="preserve"> PAGEREF _Toc69310692 \h </w:instrText>
            </w:r>
            <w:r w:rsidR="00B1624B">
              <w:rPr>
                <w:noProof/>
                <w:webHidden/>
              </w:rPr>
            </w:r>
            <w:r w:rsidR="00B1624B">
              <w:rPr>
                <w:noProof/>
                <w:webHidden/>
              </w:rPr>
              <w:fldChar w:fldCharType="separate"/>
            </w:r>
            <w:r w:rsidR="00B1624B">
              <w:rPr>
                <w:noProof/>
                <w:webHidden/>
              </w:rPr>
              <w:t>7</w:t>
            </w:r>
            <w:r w:rsidR="00B1624B">
              <w:rPr>
                <w:noProof/>
                <w:webHidden/>
              </w:rPr>
              <w:fldChar w:fldCharType="end"/>
            </w:r>
          </w:hyperlink>
        </w:p>
        <w:p w:rsidR="00B1624B" w:rsidRDefault="005C34BE">
          <w:pPr>
            <w:pStyle w:val="Innehll2"/>
            <w:rPr>
              <w:rFonts w:asciiTheme="minorHAnsi" w:eastAsiaTheme="minorEastAsia" w:hAnsiTheme="minorHAnsi" w:cstheme="minorBidi"/>
              <w:noProof/>
              <w:color w:val="auto"/>
              <w:lang w:eastAsia="sv-SE"/>
            </w:rPr>
          </w:pPr>
          <w:hyperlink w:anchor="_Toc69310693" w:history="1">
            <w:r w:rsidR="00B1624B" w:rsidRPr="00F60292">
              <w:rPr>
                <w:rStyle w:val="Hyperlnk"/>
                <w:noProof/>
              </w:rPr>
              <w:t>3.2</w:t>
            </w:r>
            <w:r w:rsidR="00B1624B">
              <w:rPr>
                <w:rFonts w:asciiTheme="minorHAnsi" w:eastAsiaTheme="minorEastAsia" w:hAnsiTheme="minorHAnsi" w:cstheme="minorBidi"/>
                <w:noProof/>
                <w:color w:val="auto"/>
                <w:lang w:eastAsia="sv-SE"/>
              </w:rPr>
              <w:tab/>
            </w:r>
            <w:r w:rsidR="00B1624B" w:rsidRPr="00F60292">
              <w:rPr>
                <w:rStyle w:val="Hyperlnk"/>
                <w:noProof/>
              </w:rPr>
              <w:t>Ekonomisk uppföljning</w:t>
            </w:r>
            <w:r w:rsidR="00B1624B">
              <w:rPr>
                <w:noProof/>
                <w:webHidden/>
              </w:rPr>
              <w:tab/>
            </w:r>
            <w:r w:rsidR="00B1624B">
              <w:rPr>
                <w:noProof/>
                <w:webHidden/>
              </w:rPr>
              <w:fldChar w:fldCharType="begin"/>
            </w:r>
            <w:r w:rsidR="00B1624B">
              <w:rPr>
                <w:noProof/>
                <w:webHidden/>
              </w:rPr>
              <w:instrText xml:space="preserve"> PAGEREF _Toc69310693 \h </w:instrText>
            </w:r>
            <w:r w:rsidR="00B1624B">
              <w:rPr>
                <w:noProof/>
                <w:webHidden/>
              </w:rPr>
            </w:r>
            <w:r w:rsidR="00B1624B">
              <w:rPr>
                <w:noProof/>
                <w:webHidden/>
              </w:rPr>
              <w:fldChar w:fldCharType="separate"/>
            </w:r>
            <w:r w:rsidR="00B1624B">
              <w:rPr>
                <w:noProof/>
                <w:webHidden/>
              </w:rPr>
              <w:t>8</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4" w:history="1">
            <w:r w:rsidR="00B1624B" w:rsidRPr="00F60292">
              <w:rPr>
                <w:rStyle w:val="Hyperlnk"/>
                <w:noProof/>
              </w:rPr>
              <w:t>3.2.1</w:t>
            </w:r>
            <w:r w:rsidR="00B1624B">
              <w:rPr>
                <w:rFonts w:asciiTheme="minorHAnsi" w:eastAsiaTheme="minorEastAsia" w:hAnsiTheme="minorHAnsi" w:cstheme="minorBidi"/>
                <w:noProof/>
                <w:color w:val="auto"/>
                <w:lang w:eastAsia="sv-SE"/>
              </w:rPr>
              <w:tab/>
            </w:r>
            <w:r w:rsidR="00B1624B" w:rsidRPr="00F60292">
              <w:rPr>
                <w:rStyle w:val="Hyperlnk"/>
                <w:noProof/>
              </w:rPr>
              <w:t>Utfall till och med perioden</w:t>
            </w:r>
            <w:r w:rsidR="00B1624B">
              <w:rPr>
                <w:noProof/>
                <w:webHidden/>
              </w:rPr>
              <w:tab/>
            </w:r>
            <w:r w:rsidR="00B1624B">
              <w:rPr>
                <w:noProof/>
                <w:webHidden/>
              </w:rPr>
              <w:fldChar w:fldCharType="begin"/>
            </w:r>
            <w:r w:rsidR="00B1624B">
              <w:rPr>
                <w:noProof/>
                <w:webHidden/>
              </w:rPr>
              <w:instrText xml:space="preserve"> PAGEREF _Toc69310694 \h </w:instrText>
            </w:r>
            <w:r w:rsidR="00B1624B">
              <w:rPr>
                <w:noProof/>
                <w:webHidden/>
              </w:rPr>
            </w:r>
            <w:r w:rsidR="00B1624B">
              <w:rPr>
                <w:noProof/>
                <w:webHidden/>
              </w:rPr>
              <w:fldChar w:fldCharType="separate"/>
            </w:r>
            <w:r w:rsidR="00B1624B">
              <w:rPr>
                <w:noProof/>
                <w:webHidden/>
              </w:rPr>
              <w:t>8</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5" w:history="1">
            <w:r w:rsidR="00B1624B" w:rsidRPr="00F60292">
              <w:rPr>
                <w:rStyle w:val="Hyperlnk"/>
                <w:noProof/>
              </w:rPr>
              <w:t>3.2.2</w:t>
            </w:r>
            <w:r w:rsidR="00B1624B">
              <w:rPr>
                <w:rFonts w:asciiTheme="minorHAnsi" w:eastAsiaTheme="minorEastAsia" w:hAnsiTheme="minorHAnsi" w:cstheme="minorBidi"/>
                <w:noProof/>
                <w:color w:val="auto"/>
                <w:lang w:eastAsia="sv-SE"/>
              </w:rPr>
              <w:tab/>
            </w:r>
            <w:r w:rsidR="00B1624B" w:rsidRPr="00F60292">
              <w:rPr>
                <w:rStyle w:val="Hyperlnk"/>
                <w:noProof/>
              </w:rPr>
              <w:t>Prognos</w:t>
            </w:r>
            <w:r w:rsidR="00B1624B">
              <w:rPr>
                <w:noProof/>
                <w:webHidden/>
              </w:rPr>
              <w:tab/>
            </w:r>
            <w:r w:rsidR="00B1624B">
              <w:rPr>
                <w:noProof/>
                <w:webHidden/>
              </w:rPr>
              <w:fldChar w:fldCharType="begin"/>
            </w:r>
            <w:r w:rsidR="00B1624B">
              <w:rPr>
                <w:noProof/>
                <w:webHidden/>
              </w:rPr>
              <w:instrText xml:space="preserve"> PAGEREF _Toc69310695 \h </w:instrText>
            </w:r>
            <w:r w:rsidR="00B1624B">
              <w:rPr>
                <w:noProof/>
                <w:webHidden/>
              </w:rPr>
            </w:r>
            <w:r w:rsidR="00B1624B">
              <w:rPr>
                <w:noProof/>
                <w:webHidden/>
              </w:rPr>
              <w:fldChar w:fldCharType="separate"/>
            </w:r>
            <w:r w:rsidR="00B1624B">
              <w:rPr>
                <w:noProof/>
                <w:webHidden/>
              </w:rPr>
              <w:t>8</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6" w:history="1">
            <w:r w:rsidR="00B1624B" w:rsidRPr="00F60292">
              <w:rPr>
                <w:rStyle w:val="Hyperlnk"/>
                <w:noProof/>
              </w:rPr>
              <w:t>3.2.3</w:t>
            </w:r>
            <w:r w:rsidR="00B1624B">
              <w:rPr>
                <w:rFonts w:asciiTheme="minorHAnsi" w:eastAsiaTheme="minorEastAsia" w:hAnsiTheme="minorHAnsi" w:cstheme="minorBidi"/>
                <w:noProof/>
                <w:color w:val="auto"/>
                <w:lang w:eastAsia="sv-SE"/>
              </w:rPr>
              <w:tab/>
            </w:r>
            <w:r w:rsidR="00B1624B" w:rsidRPr="00F60292">
              <w:rPr>
                <w:rStyle w:val="Hyperlnk"/>
                <w:noProof/>
              </w:rPr>
              <w:t>Resultat per affärsområde/dotterbolag eller motsvarande</w:t>
            </w:r>
            <w:r w:rsidR="00B1624B">
              <w:rPr>
                <w:noProof/>
                <w:webHidden/>
              </w:rPr>
              <w:tab/>
            </w:r>
            <w:r w:rsidR="00B1624B">
              <w:rPr>
                <w:noProof/>
                <w:webHidden/>
              </w:rPr>
              <w:fldChar w:fldCharType="begin"/>
            </w:r>
            <w:r w:rsidR="00B1624B">
              <w:rPr>
                <w:noProof/>
                <w:webHidden/>
              </w:rPr>
              <w:instrText xml:space="preserve"> PAGEREF _Toc69310696 \h </w:instrText>
            </w:r>
            <w:r w:rsidR="00B1624B">
              <w:rPr>
                <w:noProof/>
                <w:webHidden/>
              </w:rPr>
            </w:r>
            <w:r w:rsidR="00B1624B">
              <w:rPr>
                <w:noProof/>
                <w:webHidden/>
              </w:rPr>
              <w:fldChar w:fldCharType="separate"/>
            </w:r>
            <w:r w:rsidR="00B1624B">
              <w:rPr>
                <w:noProof/>
                <w:webHidden/>
              </w:rPr>
              <w:t>9</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7" w:history="1">
            <w:r w:rsidR="00B1624B" w:rsidRPr="00F60292">
              <w:rPr>
                <w:rStyle w:val="Hyperlnk"/>
                <w:noProof/>
              </w:rPr>
              <w:t>3.2.4</w:t>
            </w:r>
            <w:r w:rsidR="00B1624B">
              <w:rPr>
                <w:rFonts w:asciiTheme="minorHAnsi" w:eastAsiaTheme="minorEastAsia" w:hAnsiTheme="minorHAnsi" w:cstheme="minorBidi"/>
                <w:noProof/>
                <w:color w:val="auto"/>
                <w:lang w:eastAsia="sv-SE"/>
              </w:rPr>
              <w:tab/>
            </w:r>
            <w:r w:rsidR="00B1624B" w:rsidRPr="00F60292">
              <w:rPr>
                <w:rStyle w:val="Hyperlnk"/>
                <w:noProof/>
              </w:rPr>
              <w:t>Investeringsredovisning</w:t>
            </w:r>
            <w:r w:rsidR="00B1624B">
              <w:rPr>
                <w:noProof/>
                <w:webHidden/>
              </w:rPr>
              <w:tab/>
            </w:r>
            <w:r w:rsidR="00B1624B">
              <w:rPr>
                <w:noProof/>
                <w:webHidden/>
              </w:rPr>
              <w:fldChar w:fldCharType="begin"/>
            </w:r>
            <w:r w:rsidR="00B1624B">
              <w:rPr>
                <w:noProof/>
                <w:webHidden/>
              </w:rPr>
              <w:instrText xml:space="preserve"> PAGEREF _Toc69310697 \h </w:instrText>
            </w:r>
            <w:r w:rsidR="00B1624B">
              <w:rPr>
                <w:noProof/>
                <w:webHidden/>
              </w:rPr>
            </w:r>
            <w:r w:rsidR="00B1624B">
              <w:rPr>
                <w:noProof/>
                <w:webHidden/>
              </w:rPr>
              <w:fldChar w:fldCharType="separate"/>
            </w:r>
            <w:r w:rsidR="00B1624B">
              <w:rPr>
                <w:noProof/>
                <w:webHidden/>
              </w:rPr>
              <w:t>9</w:t>
            </w:r>
            <w:r w:rsidR="00B1624B">
              <w:rPr>
                <w:noProof/>
                <w:webHidden/>
              </w:rPr>
              <w:fldChar w:fldCharType="end"/>
            </w:r>
          </w:hyperlink>
        </w:p>
        <w:p w:rsidR="00B1624B" w:rsidRDefault="005C34BE">
          <w:pPr>
            <w:pStyle w:val="Innehll2"/>
            <w:rPr>
              <w:rFonts w:asciiTheme="minorHAnsi" w:eastAsiaTheme="minorEastAsia" w:hAnsiTheme="minorHAnsi" w:cstheme="minorBidi"/>
              <w:noProof/>
              <w:color w:val="auto"/>
              <w:lang w:eastAsia="sv-SE"/>
            </w:rPr>
          </w:pPr>
          <w:hyperlink w:anchor="_Toc69310698" w:history="1">
            <w:r w:rsidR="00B1624B" w:rsidRPr="00F60292">
              <w:rPr>
                <w:rStyle w:val="Hyperlnk"/>
                <w:noProof/>
              </w:rPr>
              <w:t>3.3</w:t>
            </w:r>
            <w:r w:rsidR="00B1624B">
              <w:rPr>
                <w:rFonts w:asciiTheme="minorHAnsi" w:eastAsiaTheme="minorEastAsia" w:hAnsiTheme="minorHAnsi" w:cstheme="minorBidi"/>
                <w:noProof/>
                <w:color w:val="auto"/>
                <w:lang w:eastAsia="sv-SE"/>
              </w:rPr>
              <w:tab/>
            </w:r>
            <w:r w:rsidR="00B1624B" w:rsidRPr="00F60292">
              <w:rPr>
                <w:rStyle w:val="Hyperlnk"/>
                <w:noProof/>
              </w:rPr>
              <w:t>Uppföljning av särskilda beslut och uppdrag</w:t>
            </w:r>
            <w:r w:rsidR="00B1624B">
              <w:rPr>
                <w:noProof/>
                <w:webHidden/>
              </w:rPr>
              <w:tab/>
            </w:r>
            <w:r w:rsidR="00B1624B">
              <w:rPr>
                <w:noProof/>
                <w:webHidden/>
              </w:rPr>
              <w:fldChar w:fldCharType="begin"/>
            </w:r>
            <w:r w:rsidR="00B1624B">
              <w:rPr>
                <w:noProof/>
                <w:webHidden/>
              </w:rPr>
              <w:instrText xml:space="preserve"> PAGEREF _Toc69310698 \h </w:instrText>
            </w:r>
            <w:r w:rsidR="00B1624B">
              <w:rPr>
                <w:noProof/>
                <w:webHidden/>
              </w:rPr>
            </w:r>
            <w:r w:rsidR="00B1624B">
              <w:rPr>
                <w:noProof/>
                <w:webHidden/>
              </w:rPr>
              <w:fldChar w:fldCharType="separate"/>
            </w:r>
            <w:r w:rsidR="00B1624B">
              <w:rPr>
                <w:noProof/>
                <w:webHidden/>
              </w:rPr>
              <w:t>10</w:t>
            </w:r>
            <w:r w:rsidR="00B1624B">
              <w:rPr>
                <w:noProof/>
                <w:webHidden/>
              </w:rPr>
              <w:fldChar w:fldCharType="end"/>
            </w:r>
          </w:hyperlink>
        </w:p>
        <w:p w:rsidR="00B1624B" w:rsidRDefault="005C34BE">
          <w:pPr>
            <w:pStyle w:val="Innehll3"/>
            <w:tabs>
              <w:tab w:val="left" w:pos="1560"/>
            </w:tabs>
            <w:rPr>
              <w:rFonts w:asciiTheme="minorHAnsi" w:eastAsiaTheme="minorEastAsia" w:hAnsiTheme="minorHAnsi" w:cstheme="minorBidi"/>
              <w:noProof/>
              <w:color w:val="auto"/>
              <w:lang w:eastAsia="sv-SE"/>
            </w:rPr>
          </w:pPr>
          <w:hyperlink w:anchor="_Toc69310699" w:history="1">
            <w:r w:rsidR="00B1624B" w:rsidRPr="00F60292">
              <w:rPr>
                <w:rStyle w:val="Hyperlnk"/>
                <w:noProof/>
              </w:rPr>
              <w:t>3.3.1</w:t>
            </w:r>
            <w:r w:rsidR="00B1624B">
              <w:rPr>
                <w:rFonts w:asciiTheme="minorHAnsi" w:eastAsiaTheme="minorEastAsia" w:hAnsiTheme="minorHAnsi" w:cstheme="minorBidi"/>
                <w:noProof/>
                <w:color w:val="auto"/>
                <w:lang w:eastAsia="sv-SE"/>
              </w:rPr>
              <w:tab/>
            </w:r>
            <w:r w:rsidR="00B1624B" w:rsidRPr="00F60292">
              <w:rPr>
                <w:rStyle w:val="Hyperlnk"/>
                <w:noProof/>
              </w:rPr>
              <w:t>Övriga beslut och/eller uppdrag</w:t>
            </w:r>
            <w:r w:rsidR="00B1624B">
              <w:rPr>
                <w:noProof/>
                <w:webHidden/>
              </w:rPr>
              <w:tab/>
            </w:r>
            <w:r w:rsidR="00B1624B">
              <w:rPr>
                <w:noProof/>
                <w:webHidden/>
              </w:rPr>
              <w:fldChar w:fldCharType="begin"/>
            </w:r>
            <w:r w:rsidR="00B1624B">
              <w:rPr>
                <w:noProof/>
                <w:webHidden/>
              </w:rPr>
              <w:instrText xml:space="preserve"> PAGEREF _Toc69310699 \h </w:instrText>
            </w:r>
            <w:r w:rsidR="00B1624B">
              <w:rPr>
                <w:noProof/>
                <w:webHidden/>
              </w:rPr>
            </w:r>
            <w:r w:rsidR="00B1624B">
              <w:rPr>
                <w:noProof/>
                <w:webHidden/>
              </w:rPr>
              <w:fldChar w:fldCharType="separate"/>
            </w:r>
            <w:r w:rsidR="00B1624B">
              <w:rPr>
                <w:noProof/>
                <w:webHidden/>
              </w:rPr>
              <w:t>10</w:t>
            </w:r>
            <w:r w:rsidR="00B1624B">
              <w:rPr>
                <w:noProof/>
                <w:webHidden/>
              </w:rPr>
              <w:fldChar w:fldCharType="end"/>
            </w:r>
          </w:hyperlink>
        </w:p>
        <w:p w:rsidR="00B1624B" w:rsidRDefault="005C34BE">
          <w:pPr>
            <w:pStyle w:val="Innehll1"/>
            <w:rPr>
              <w:rFonts w:asciiTheme="minorHAnsi" w:hAnsiTheme="minorHAnsi"/>
              <w:b w:val="0"/>
              <w:bCs w:val="0"/>
              <w:noProof/>
              <w:color w:val="auto"/>
              <w:lang w:eastAsia="sv-SE"/>
            </w:rPr>
          </w:pPr>
          <w:hyperlink w:anchor="_Toc69310700" w:history="1">
            <w:r w:rsidR="00B1624B" w:rsidRPr="00F60292">
              <w:rPr>
                <w:rStyle w:val="Hyperlnk"/>
                <w:noProof/>
              </w:rPr>
              <w:t>4</w:t>
            </w:r>
            <w:r w:rsidR="00B1624B">
              <w:rPr>
                <w:rFonts w:asciiTheme="minorHAnsi" w:hAnsiTheme="minorHAnsi"/>
                <w:b w:val="0"/>
                <w:bCs w:val="0"/>
                <w:noProof/>
                <w:color w:val="auto"/>
                <w:lang w:eastAsia="sv-SE"/>
              </w:rPr>
              <w:tab/>
            </w:r>
            <w:r w:rsidR="00B1624B" w:rsidRPr="00F60292">
              <w:rPr>
                <w:rStyle w:val="Hyperlnk"/>
                <w:noProof/>
              </w:rPr>
              <w:t>Uppföljning till Göteborgs Stadshus AB</w:t>
            </w:r>
            <w:r w:rsidR="00B1624B">
              <w:rPr>
                <w:noProof/>
                <w:webHidden/>
              </w:rPr>
              <w:tab/>
            </w:r>
            <w:r w:rsidR="00B1624B">
              <w:rPr>
                <w:noProof/>
                <w:webHidden/>
              </w:rPr>
              <w:fldChar w:fldCharType="begin"/>
            </w:r>
            <w:r w:rsidR="00B1624B">
              <w:rPr>
                <w:noProof/>
                <w:webHidden/>
              </w:rPr>
              <w:instrText xml:space="preserve"> PAGEREF _Toc69310700 \h </w:instrText>
            </w:r>
            <w:r w:rsidR="00B1624B">
              <w:rPr>
                <w:noProof/>
                <w:webHidden/>
              </w:rPr>
            </w:r>
            <w:r w:rsidR="00B1624B">
              <w:rPr>
                <w:noProof/>
                <w:webHidden/>
              </w:rPr>
              <w:fldChar w:fldCharType="separate"/>
            </w:r>
            <w:r w:rsidR="00B1624B">
              <w:rPr>
                <w:noProof/>
                <w:webHidden/>
              </w:rPr>
              <w:t>11</w:t>
            </w:r>
            <w:r w:rsidR="00B1624B">
              <w:rPr>
                <w:noProof/>
                <w:webHidden/>
              </w:rPr>
              <w:fldChar w:fldCharType="end"/>
            </w:r>
          </w:hyperlink>
        </w:p>
        <w:p w:rsidR="00B35DF2" w:rsidRDefault="0016399A">
          <w:r>
            <w:fldChar w:fldCharType="end"/>
          </w:r>
        </w:p>
      </w:sdtContent>
    </w:sdt>
    <w:p w:rsidR="00B35DF2" w:rsidRDefault="0016399A">
      <w:pPr>
        <w:pStyle w:val="Bilagor"/>
      </w:pPr>
      <w:r>
        <w:t>Bilagor</w:t>
      </w:r>
    </w:p>
    <w:p w:rsidR="00B35DF2" w:rsidRDefault="0016399A">
      <w:pPr>
        <w:pStyle w:val="Bilaga"/>
      </w:pPr>
      <w:r>
        <w:t>Bilaga 1: Protokoll nr 1 GSAB 210210 FINAL_</w:t>
      </w:r>
    </w:p>
    <w:p w:rsidR="00B35DF2" w:rsidRDefault="0016399A">
      <w:pPr>
        <w:pStyle w:val="Bilaga"/>
      </w:pPr>
      <w:r>
        <w:t>Bilaga 2: Protokoll nr 7 GSAB 201125</w:t>
      </w:r>
    </w:p>
    <w:p w:rsidR="00B35DF2" w:rsidRDefault="0016399A">
      <w:r>
        <w:br w:type="page"/>
      </w:r>
    </w:p>
    <w:p w:rsidR="00B35DF2" w:rsidRDefault="0016399A">
      <w:pPr>
        <w:pStyle w:val="Rubrik1-Sidbryt"/>
      </w:pPr>
      <w:bookmarkStart w:id="0" w:name="_Toc69310681"/>
      <w:r>
        <w:lastRenderedPageBreak/>
        <w:t>Sammanfattning</w:t>
      </w:r>
      <w:bookmarkEnd w:id="0"/>
    </w:p>
    <w:p w:rsidR="00B35DF2" w:rsidRDefault="0016399A">
      <w:pPr>
        <w:pStyle w:val="BodyText"/>
        <w:widowControl w:val="0"/>
      </w:pPr>
      <w:r>
        <w:t>Göteborgs Spårvägar är en del av stadens varumärke och sätter staden i rörelse.</w:t>
      </w:r>
    </w:p>
    <w:p w:rsidR="00B35DF2" w:rsidRDefault="0016399A">
      <w:pPr>
        <w:pStyle w:val="BodyText"/>
        <w:widowControl w:val="0"/>
      </w:pPr>
      <w:r>
        <w:t>Vi har under kvartal 1 utfört vår produktion på ett bra sätt både i Spårvagnsverksamheten och på Infrastruktur. Däremot har vi levererat sämre i förhållande till budget. De främsta anledningarna är att prognosticerade besparingar inte har varit möjliga dels pga Corona pandemin men främst pga att bolaget är i en övergångsfas mellan utfasning av äldre fordon (vars kostnader ökar) och försenad infasning av nya fordon.</w:t>
      </w:r>
    </w:p>
    <w:p w:rsidR="00B35DF2" w:rsidRDefault="0016399A">
      <w:pPr>
        <w:pStyle w:val="BodyText"/>
        <w:widowControl w:val="0"/>
      </w:pPr>
      <w:r>
        <w:t>Sjukfrånvaron i bolaget som helhet är på normala nivåer förutom hos förarkåren som avviker markant, samt fordonsteknikerna som periodvis har mindre avvikelser, vilket bedöms som Corona relaterade.</w:t>
      </w:r>
    </w:p>
    <w:p w:rsidR="00B35DF2" w:rsidRDefault="0016399A">
      <w:pPr>
        <w:pStyle w:val="BodyText"/>
        <w:widowControl w:val="0"/>
      </w:pPr>
      <w:r>
        <w:t>Bolaget har på mars styrelsemöte avvecklat redovisningen av Handlingsplan Infrastruktur då arbetet avslutats under 2020. Istället infördes särskild redovisning Handlingsplan Arbetsmiljö då bolagsledningen bedömer att arbetsmiljöfrågan kräver uppmärksamhet och åtgärder på kort och lång sikt. Kvartal 1 har Skyddsorganisationen åtgärdat ett flertal punkter men större utvecklingsområdena relateras till: behov av nya fordon, behov av förbättrad trafikmiljö samt behov av en förbättrad banstandard.</w:t>
      </w:r>
    </w:p>
    <w:p w:rsidR="00B35DF2" w:rsidRDefault="0016399A">
      <w:pPr>
        <w:pStyle w:val="BodyText"/>
        <w:widowControl w:val="0"/>
      </w:pPr>
      <w:r>
        <w:t>Kvartal 1 har Vibrationsmätningar på fordonstyp M32 genomförts. Ett skyddsombud har misstänkt ohälsa hos vissa förare och anmält en 6.6a till AMV. Preliminära resultaten påvisar ingen korrelation mellan vibrationernas nivå och ohälsa hos förarna. Slutgiltigt resultat redovisas kvartal 2.</w:t>
      </w:r>
    </w:p>
    <w:p w:rsidR="00B35DF2" w:rsidRDefault="0016399A">
      <w:pPr>
        <w:pStyle w:val="BodyText"/>
        <w:widowControl w:val="0"/>
      </w:pPr>
      <w:r>
        <w:t>Utvecklingstakten i bolaget, trots Corona pandemin, bedöms kvartal 1 som fortsatt hög. Motivation och engagemang säkerställs främst genom vårt ledar- och kulturprogram samt omfattande informations- och dialoginsatser. Här poängteras arbetet med införande av RFID baserat fordonstatussystem samt ny Störnings- och krisplan. Detta kommer markant att förbättra förmågan till ledning och träning av både Trafikledning och förare. Under kvartal 1 har avd Fordon- och driftsäkrings metoder utvärderats. Detta i förhållande till utmaningen, att under 2021–2024 säkra fordonsunderhållsutveckling pga ökad obsolens av fordonstyperna M28/29 fram till dess att M33/34 är helt infasade.</w:t>
      </w:r>
    </w:p>
    <w:p w:rsidR="00B35DF2" w:rsidRDefault="0016399A">
      <w:pPr>
        <w:pStyle w:val="BodyText"/>
        <w:widowControl w:val="0"/>
      </w:pPr>
      <w:r>
        <w:rPr>
          <w:b/>
        </w:rPr>
        <w:t>Kvalitetsutvecklingsresa</w:t>
      </w:r>
    </w:p>
    <w:p w:rsidR="00B35DF2" w:rsidRDefault="0016399A">
      <w:pPr>
        <w:pStyle w:val="BodyText"/>
        <w:widowControl w:val="0"/>
      </w:pPr>
      <w:r>
        <w:t>Bolagets utveckling av verksamhetsledningssystemet är förutsättningen för att kunna leverera ständiga förbättringar. Affärsplan, Verksamhetsplaner, Uppdragssammanställning, Målsammanställning, Trafiksäkerhets- och Trygghetsplan, Interkontrollplan samt Informationshanteringsplan är viktiga ingångsvärden till detta arbete. Arbetet ska säkerställa styrning, ledning, planering, uppföljning och kontroll av verksamheten genom tydliga målbilder, organisering, processer och moderna IT-system. Kvalitetsmetoderna SIQ och LEAN kommer att användas med nyckelorden produktivitet samt effektivitet. Arbetet har 2020 resulterat i goda omdömen från Lekmannarevisorerna. Arbetet under 2021 syftar till att säkerställa avdelningarnas operationella excellens samt grundlägga strategisk utveckling av trafikmiljö, bana och fordon</w:t>
      </w:r>
    </w:p>
    <w:p w:rsidR="00B35DF2" w:rsidRDefault="0016399A">
      <w:pPr>
        <w:pStyle w:val="Rubrik1-Sidbryt"/>
      </w:pPr>
      <w:bookmarkStart w:id="1" w:name="_Toc69310682"/>
      <w:r>
        <w:lastRenderedPageBreak/>
        <w:t>Väsentlig styrinformation till kommunstyrelsen</w:t>
      </w:r>
      <w:bookmarkEnd w:id="1"/>
    </w:p>
    <w:p w:rsidR="00B35DF2" w:rsidRDefault="0016399A">
      <w:pPr>
        <w:pStyle w:val="Rubrik2"/>
      </w:pPr>
      <w:bookmarkStart w:id="2" w:name="_Toc69310683"/>
      <w:r>
        <w:t>Verksamhetens utveckling</w:t>
      </w:r>
      <w:bookmarkEnd w:id="2"/>
    </w:p>
    <w:p w:rsidR="00B35DF2" w:rsidRDefault="0016399A">
      <w:pPr>
        <w:pStyle w:val="Rubrik3"/>
      </w:pPr>
      <w:bookmarkStart w:id="3" w:name="_Toc69310684"/>
      <w:r>
        <w:t>Mått/nyckeltal som beskriver verksamhetens utveckling</w:t>
      </w:r>
      <w:bookmarkEnd w:id="3"/>
    </w:p>
    <w:p w:rsidR="00B35DF2" w:rsidRDefault="0016399A">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2381"/>
        <w:gridCol w:w="1247"/>
        <w:gridCol w:w="1247"/>
        <w:gridCol w:w="1247"/>
        <w:gridCol w:w="1247"/>
      </w:tblGrid>
      <w:tr w:rsidR="00B35DF2">
        <w:trPr>
          <w:cantSplit w:val="0"/>
        </w:trPr>
        <w:tc>
          <w:tcPr>
            <w:tcW w:w="2381"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Mått/nyckeltal</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Utfall 2019</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Utfall 2020</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Utfall perioden 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Prognos helår 2021</w:t>
            </w:r>
          </w:p>
        </w:tc>
      </w:tr>
      <w:tr w:rsidR="00B35DF2">
        <w:trPr>
          <w:cantSplit w:val="0"/>
        </w:trPr>
        <w:tc>
          <w:tcPr>
            <w:tcW w:w="2381"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Nöjd kund</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 xml:space="preserve"> 95% </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n/a</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n/a</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n/a</w:t>
            </w:r>
          </w:p>
        </w:tc>
      </w:tr>
      <w:tr w:rsidR="00B35DF2">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Resandeutveckling</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7,6%</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-32,7%</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-42,7%</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-35,0%</w:t>
            </w:r>
          </w:p>
        </w:tc>
      </w:tr>
      <w:tr w:rsidR="00B35DF2">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Punktlighet</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76,5%</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80,7%</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82,7%</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82,0%</w:t>
            </w:r>
          </w:p>
        </w:tc>
      </w:tr>
    </w:tbl>
    <w:p w:rsidR="00B35DF2" w:rsidRDefault="0016399A">
      <w:pPr>
        <w:pStyle w:val="BodyText"/>
        <w:widowControl w:val="0"/>
        <w:spacing w:before="160"/>
      </w:pPr>
      <w:r>
        <w:t>Kundnöjdheten mäts normalt kvartalsvis men under pågående pandemi så genomförs inga mätningar. Under 2019 nådde vi målet på 95% kundnöjdhet.</w:t>
      </w:r>
    </w:p>
    <w:p w:rsidR="00B35DF2" w:rsidRDefault="0016399A">
      <w:pPr>
        <w:pStyle w:val="BodyText"/>
        <w:widowControl w:val="0"/>
      </w:pPr>
      <w:r>
        <w:t>Under de första månaderna 2020 var resandet ej påverkat av pandemin. Under inledningen av 2021 har pandemin haft full effekt på resandet, vilket är kopplat till att full trafikproduktion genomförs för att minska risken för trängsel i spårvagnarna.</w:t>
      </w:r>
    </w:p>
    <w:p w:rsidR="00B35DF2" w:rsidRDefault="0016399A">
      <w:pPr>
        <w:pStyle w:val="BodyText"/>
        <w:widowControl w:val="0"/>
      </w:pPr>
      <w:r>
        <w:t>Punktligheten har ökat vilket är kopplat till den kraftiga resandeminskningen.</w:t>
      </w:r>
    </w:p>
    <w:p w:rsidR="00B35DF2" w:rsidRDefault="0016399A">
      <w:pPr>
        <w:pStyle w:val="Tabellrubrik"/>
      </w:pPr>
      <w:r>
        <w:t>Volym-, intäkts- och kostnadsutveckling</w:t>
      </w:r>
    </w:p>
    <w:tbl>
      <w:tblPr>
        <w:tblStyle w:val="Tabellrutnt"/>
        <w:tblOverlap w:val="never"/>
        <w:tblW w:w="0" w:type="auto"/>
        <w:tblLayout w:type="fixed"/>
        <w:tblLook w:val="04A0" w:firstRow="1" w:lastRow="0" w:firstColumn="1" w:lastColumn="0" w:noHBand="0" w:noVBand="1"/>
      </w:tblPr>
      <w:tblGrid>
        <w:gridCol w:w="3734"/>
        <w:gridCol w:w="1818"/>
        <w:gridCol w:w="1818"/>
      </w:tblGrid>
      <w:tr w:rsidR="00B35DF2">
        <w:trPr>
          <w:cantSplit w:val="0"/>
        </w:trPr>
        <w:tc>
          <w:tcPr>
            <w:tcW w:w="3734"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Mått</w:t>
            </w:r>
          </w:p>
        </w:tc>
        <w:tc>
          <w:tcPr>
            <w:tcW w:w="1818"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Utfall perioden jämfört med samma period föregående år</w:t>
            </w:r>
          </w:p>
        </w:tc>
        <w:tc>
          <w:tcPr>
            <w:tcW w:w="1818"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Prognos helår jämfört med helår föregående år</w:t>
            </w:r>
          </w:p>
        </w:tc>
      </w:tr>
      <w:tr w:rsidR="00B35DF2">
        <w:trPr>
          <w:cantSplit w:val="0"/>
        </w:trPr>
        <w:tc>
          <w:tcPr>
            <w:tcW w:w="3734"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Trafikservicegrad</w:t>
            </w:r>
          </w:p>
        </w:tc>
        <w:tc>
          <w:tcPr>
            <w:tcW w:w="1818"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96,1%</w:t>
            </w:r>
          </w:p>
        </w:tc>
        <w:tc>
          <w:tcPr>
            <w:tcW w:w="1818"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98,0%</w:t>
            </w:r>
          </w:p>
        </w:tc>
      </w:tr>
      <w:tr w:rsidR="00B35DF2">
        <w:trPr>
          <w:cantSplit w:val="0"/>
        </w:trPr>
        <w:tc>
          <w:tcPr>
            <w:tcW w:w="37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r>
    </w:tbl>
    <w:p w:rsidR="00B35DF2" w:rsidRDefault="0016399A">
      <w:pPr>
        <w:pStyle w:val="BodyText"/>
        <w:widowControl w:val="0"/>
        <w:spacing w:before="160"/>
      </w:pPr>
      <w:r>
        <w:t>Trafikservicegraden är ett resenärsfokuserat mått som under motsvarande period 2020 utföll till 95,3%. Utfallet under 2021 års tre första månader innebär en förbättring med 0,8%.</w:t>
      </w:r>
    </w:p>
    <w:p w:rsidR="00B35DF2" w:rsidRDefault="0016399A">
      <w:pPr>
        <w:pStyle w:val="BodyText"/>
        <w:widowControl w:val="0"/>
      </w:pPr>
      <w:r>
        <w:t>För vissa fordonsmodeller så finns existerande problematik att anskaffa reservdelar. Dessa problem kan öka utifrån nuvarande situation som drabbar leverantörer- och underleverantörer i den tillverkande sektorn globalt. Detta innebär ett hot mot leveransförmågan.</w:t>
      </w:r>
    </w:p>
    <w:p w:rsidR="00B35DF2" w:rsidRDefault="0016399A">
      <w:pPr>
        <w:pStyle w:val="BodyText"/>
        <w:widowControl w:val="0"/>
      </w:pPr>
      <w:r>
        <w:t>Verksamheten har hittills under 2021 haft en positiv utveckling när det gäller förmågan att leverera trafik som resenärerna kan nyttja. Detta innebär att trängseln ombord på fordonen minskats i linje med myndigheternas rekommendationer men detta påverkar givetvis statistiken över resandet negativt. Punktligheten har ökat men lider fortsatt av de framkomlighetsproblem som finns i staden.</w:t>
      </w:r>
    </w:p>
    <w:p w:rsidR="00B35DF2" w:rsidRDefault="0016399A">
      <w:pPr>
        <w:pStyle w:val="Rubrik3"/>
      </w:pPr>
      <w:bookmarkStart w:id="4" w:name="_Toc69310685"/>
      <w:r>
        <w:lastRenderedPageBreak/>
        <w:t>Väsentliga avvikelser i verksamhetens utveckling</w:t>
      </w:r>
      <w:bookmarkEnd w:id="4"/>
    </w:p>
    <w:tbl>
      <w:tblPr>
        <w:tblStyle w:val="Tabellrutnt"/>
        <w:tblOverlap w:val="never"/>
        <w:tblW w:w="0" w:type="auto"/>
        <w:tblLook w:val="04A0" w:firstRow="1" w:lastRow="0" w:firstColumn="1" w:lastColumn="0" w:noHBand="0" w:noVBand="1"/>
      </w:tblPr>
      <w:tblGrid>
        <w:gridCol w:w="7360"/>
      </w:tblGrid>
      <w:tr w:rsidR="00B35DF2">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Punktligheten i trafiken är för 2021 högre än under 2020. Detta är en effekt av pandemin. Punktligheten har dock en mycket negativ trend över tid kopplat till pågående stora infrastrukturprojekt och trafikmiljön i staden som påverkar framkomligheten negativt.</w:t>
            </w:r>
          </w:p>
        </w:tc>
      </w:tr>
      <w:tr w:rsidR="00B35DF2">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Orsak till att avvikelsen uppstått</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Stora infrastrukturprojekt som stör framkomligheten för kollektivtrafiken</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Konsekvenser för de verksamheten är till för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 xml:space="preserve"> Lägre punktlighet med förseningar för resenärerna som följd </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Konsekvenser för organisation, medarbetare och chefer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Försämrad punktlighet drabbar framförallt förarkåren och påverkar körtid, avlösningar, pauser och raster negativt, vilket leder till negativ påverkan på arbetsmiljön.</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Ekonomiska konsekvenser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 xml:space="preserve"> Ökade körtider och extra bemanning leder till högre personalkostnader. </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Vidtagna åtgärder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 xml:space="preserve"> Justering av körtider och extra bemanningsreserver. </w:t>
            </w:r>
          </w:p>
        </w:tc>
      </w:tr>
    </w:tbl>
    <w:p w:rsidR="00B35DF2" w:rsidRDefault="00B35DF2">
      <w:pPr>
        <w:pStyle w:val="BodyText"/>
      </w:pPr>
    </w:p>
    <w:tbl>
      <w:tblPr>
        <w:tblStyle w:val="Tabellrutnt"/>
        <w:tblOverlap w:val="never"/>
        <w:tblW w:w="0" w:type="auto"/>
        <w:tblLook w:val="04A0" w:firstRow="1" w:lastRow="0" w:firstColumn="1" w:lastColumn="0" w:noHBand="0" w:noVBand="1"/>
      </w:tblPr>
      <w:tblGrid>
        <w:gridCol w:w="7360"/>
      </w:tblGrid>
      <w:tr w:rsidR="00B35DF2">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Påverkan som pandemin haft på bolaget - minskat resande jämfört föregående år</w:t>
            </w:r>
          </w:p>
        </w:tc>
      </w:tr>
      <w:tr w:rsidR="00B35DF2">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Orsak till att avvikelsen uppstått</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Myndigheternas råd att minska resor med Kollektivtrafik</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Konsekvenser för de verksamheten är till för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De som åker med oss får större utrymme</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Konsekvenser för organisation, medarbetare och chefer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Nej</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Ekonomiska konsekvenser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Inga konsekvenser på kort sikt men risk för att Västtrafik får problem med sin ekonomin framåt.</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rPr>
                <w:b/>
                <w:i/>
              </w:rPr>
              <w:t>Vidtagna åtgärder</w:t>
            </w:r>
          </w:p>
        </w:tc>
      </w:tr>
      <w:tr w:rsidR="00B35DF2">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Västtrafik har beställt full produktion för att minska trängsel.</w:t>
            </w:r>
          </w:p>
        </w:tc>
      </w:tr>
    </w:tbl>
    <w:p w:rsidR="00B35DF2" w:rsidRDefault="0016399A">
      <w:pPr>
        <w:pStyle w:val="Rubrik3"/>
      </w:pPr>
      <w:bookmarkStart w:id="5" w:name="_Toc69310686"/>
      <w:r>
        <w:t>Övrig väsentlig information till kommunstyrelsen</w:t>
      </w:r>
      <w:bookmarkEnd w:id="5"/>
    </w:p>
    <w:p w:rsidR="005C34BE" w:rsidRDefault="005C34BE" w:rsidP="005C34BE">
      <w:pPr>
        <w:pStyle w:val="Brdtext"/>
      </w:pPr>
      <w:r>
        <w:t>Inget att rapportera</w:t>
      </w:r>
    </w:p>
    <w:p w:rsidR="005C34BE" w:rsidRDefault="005C34BE" w:rsidP="005C34BE">
      <w:pPr>
        <w:pStyle w:val="Brdtext"/>
      </w:pPr>
    </w:p>
    <w:p w:rsidR="005C34BE" w:rsidRDefault="005C34BE" w:rsidP="005C34BE">
      <w:pPr>
        <w:pStyle w:val="Brdtext"/>
      </w:pPr>
    </w:p>
    <w:p w:rsidR="005C34BE" w:rsidRDefault="005C34BE" w:rsidP="005C34BE">
      <w:pPr>
        <w:pStyle w:val="Brdtext"/>
      </w:pPr>
    </w:p>
    <w:p w:rsidR="005C34BE" w:rsidRPr="005C34BE" w:rsidRDefault="005C34BE" w:rsidP="005C34BE">
      <w:pPr>
        <w:pStyle w:val="Brdtext"/>
      </w:pPr>
    </w:p>
    <w:p w:rsidR="00B35DF2" w:rsidRDefault="0016399A">
      <w:pPr>
        <w:pStyle w:val="Rubrik2"/>
      </w:pPr>
      <w:bookmarkStart w:id="6" w:name="_Toc69310687"/>
      <w:r>
        <w:lastRenderedPageBreak/>
        <w:t>Kommunfullmäktiges budgetmål</w:t>
      </w:r>
      <w:bookmarkEnd w:id="6"/>
    </w:p>
    <w:p w:rsidR="00B35DF2" w:rsidRDefault="0016399A">
      <w:pPr>
        <w:pStyle w:val="Rubrik3"/>
      </w:pPr>
      <w:bookmarkStart w:id="7" w:name="_Toc69310688"/>
      <w:r>
        <w:t>Organisationsmål</w:t>
      </w:r>
      <w:bookmarkEnd w:id="7"/>
    </w:p>
    <w:tbl>
      <w:tblPr>
        <w:tblStyle w:val="Tabellrutnt"/>
        <w:tblOverlap w:val="never"/>
        <w:tblW w:w="0" w:type="auto"/>
        <w:tblLayout w:type="fixed"/>
        <w:tblLook w:val="04A0" w:firstRow="1" w:lastRow="0" w:firstColumn="1" w:lastColumn="0" w:noHBand="0" w:noVBand="1"/>
      </w:tblPr>
      <w:tblGrid>
        <w:gridCol w:w="1497"/>
        <w:gridCol w:w="979"/>
        <w:gridCol w:w="979"/>
        <w:gridCol w:w="979"/>
        <w:gridCol w:w="979"/>
        <w:gridCol w:w="979"/>
        <w:gridCol w:w="979"/>
      </w:tblGrid>
      <w:tr w:rsidR="00B35DF2">
        <w:trPr>
          <w:cantSplit w:val="0"/>
        </w:trPr>
        <w:tc>
          <w:tcPr>
            <w:tcW w:w="7371" w:type="dxa"/>
            <w:gridSpan w:val="7"/>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i/>
              </w:rPr>
              <w:t>Göteborgs Stad är en attraktiv arbetsgivare med goda arbetsvillkor</w:t>
            </w:r>
          </w:p>
        </w:tc>
      </w:tr>
      <w:tr w:rsidR="00B35DF2">
        <w:trPr>
          <w:cantSplit w:val="0"/>
        </w:trPr>
        <w:tc>
          <w:tcPr>
            <w:tcW w:w="7371" w:type="dxa"/>
            <w:gridSpan w:val="7"/>
            <w:tcBorders>
              <w:top w:val="single" w:sz="18"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Indikator - Medarbetarengagemang (HME) - Totalindex</w:t>
            </w:r>
          </w:p>
        </w:tc>
      </w:tr>
      <w:tr w:rsidR="00B35DF2">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Utfall 2019</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Utfall 2020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2021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2022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2023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2030</w:t>
            </w:r>
          </w:p>
        </w:tc>
      </w:tr>
      <w:tr w:rsidR="00B35DF2">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Utfall/mål för staden</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75</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79</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85</w:t>
            </w:r>
          </w:p>
        </w:tc>
      </w:tr>
      <w:tr w:rsidR="00B35DF2">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Utfall/mål för bolaget</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73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r>
      <w:tr w:rsidR="00B35DF2">
        <w:trPr>
          <w:cantSplit w:val="0"/>
        </w:trPr>
        <w:tc>
          <w:tcPr>
            <w:tcW w:w="7371" w:type="dxa"/>
            <w:gridSpan w:val="7"/>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Indikator - Sjukfrånvaro kommunalt anställda</w:t>
            </w:r>
          </w:p>
        </w:tc>
      </w:tr>
      <w:tr w:rsidR="00B35DF2">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Utfall 2019</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Utfall 2020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2021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2022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2023</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center"/>
            </w:pPr>
            <w:r>
              <w:rPr>
                <w:b/>
              </w:rPr>
              <w:t>Mål 2030</w:t>
            </w:r>
          </w:p>
        </w:tc>
      </w:tr>
      <w:tr w:rsidR="00B35DF2">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Utfall/mål för staden</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9,6</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7%</w:t>
            </w:r>
          </w:p>
        </w:tc>
      </w:tr>
      <w:tr w:rsidR="00B35DF2">
        <w:trPr>
          <w:cantSplit w:val="0"/>
        </w:trPr>
        <w:tc>
          <w:tcPr>
            <w:tcW w:w="1497"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Utfall/mål för bolaget</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6,9</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8,6</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jc w:val="right"/>
            </w:pPr>
            <w:r>
              <w:t>x</w:t>
            </w:r>
          </w:p>
        </w:tc>
      </w:tr>
    </w:tbl>
    <w:p w:rsidR="00B35DF2" w:rsidRDefault="0016399A">
      <w:pPr>
        <w:pStyle w:val="Fotnot"/>
        <w:widowControl w:val="0"/>
      </w:pPr>
      <w:r>
        <w:t>*: Mätning ej genomförd 2020</w:t>
      </w:r>
      <w:r>
        <w:br/>
        <w:t>X: Mål ej satt utöver stadens gemensamma mål.</w:t>
      </w:r>
    </w:p>
    <w:p w:rsidR="00B35DF2" w:rsidRDefault="0016399A">
      <w:pPr>
        <w:pStyle w:val="Rubrik1-Sidbryt"/>
      </w:pPr>
      <w:bookmarkStart w:id="8" w:name="_Toc69310689"/>
      <w:r>
        <w:lastRenderedPageBreak/>
        <w:t>Övrig uppföljning till kommunstyrelsen</w:t>
      </w:r>
      <w:bookmarkEnd w:id="8"/>
    </w:p>
    <w:p w:rsidR="00B35DF2" w:rsidRDefault="0016399A">
      <w:pPr>
        <w:pStyle w:val="Rubrik2"/>
      </w:pPr>
      <w:bookmarkStart w:id="9" w:name="_Toc69310690"/>
      <w:r>
        <w:t>Utveckling inom personalområdet</w:t>
      </w:r>
      <w:bookmarkEnd w:id="9"/>
    </w:p>
    <w:p w:rsidR="00B35DF2" w:rsidRDefault="0016399A">
      <w:pPr>
        <w:pStyle w:val="Rubrik3"/>
      </w:pPr>
      <w:bookmarkStart w:id="10" w:name="_Toc69310691"/>
      <w:r>
        <w:t>Mått/nyckeltal som beskriver utvecklingen ur ett HR-perspektiv</w:t>
      </w:r>
      <w:bookmarkEnd w:id="10"/>
    </w:p>
    <w:tbl>
      <w:tblPr>
        <w:tblStyle w:val="Tabellrutnt"/>
        <w:tblOverlap w:val="never"/>
        <w:tblW w:w="0" w:type="auto"/>
        <w:tblLook w:val="04A0" w:firstRow="1" w:lastRow="0" w:firstColumn="1" w:lastColumn="0" w:noHBand="0" w:noVBand="1"/>
      </w:tblPr>
      <w:tblGrid>
        <w:gridCol w:w="1858"/>
        <w:gridCol w:w="1361"/>
        <w:gridCol w:w="1424"/>
        <w:gridCol w:w="1383"/>
        <w:gridCol w:w="1334"/>
      </w:tblGrid>
      <w:tr w:rsidR="00B35DF2">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 </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Aktuell period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Aktuell period föregående år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Prognos 2021</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Utfall dec 2020</w:t>
            </w:r>
          </w:p>
        </w:tc>
      </w:tr>
      <w:tr w:rsidR="00B35DF2">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Total sjukfrånvaro %</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8,7</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7,5</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8,4</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8,6</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Antal tillsvidareanställda bolagsexterna avgångar</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16</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20</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B35DF2" w:rsidRDefault="0016399A">
            <w:pPr>
              <w:pStyle w:val="Tabellcell"/>
            </w:pPr>
            <w:r>
              <w:t>60</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B35DF2" w:rsidRDefault="0016399A">
            <w:pPr>
              <w:pStyle w:val="Tabellcell"/>
            </w:pPr>
            <w:r>
              <w:t>74</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Antal tillsvidareanställda bolagsexterna rekryteringar</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9</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14</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B35DF2" w:rsidRDefault="0016399A">
            <w:pPr>
              <w:pStyle w:val="Tabellcell"/>
            </w:pPr>
            <w:r>
              <w:t>40</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B35DF2" w:rsidRDefault="0016399A">
            <w:pPr>
              <w:pStyle w:val="Tabellcell"/>
            </w:pPr>
            <w:r>
              <w:t>52</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Bolagsextern personalomsättning* (%)</w:t>
            </w: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tcPr>
          <w:p w:rsidR="00B35DF2" w:rsidRDefault="00B35DF2">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tcPr>
          <w:p w:rsidR="00B35DF2" w:rsidRDefault="00B35DF2">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4,5</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5,9</w:t>
            </w:r>
          </w:p>
        </w:tc>
      </w:tr>
    </w:tbl>
    <w:p w:rsidR="00B35DF2" w:rsidRDefault="0016399A">
      <w:pPr>
        <w:pStyle w:val="Rubrik3"/>
      </w:pPr>
      <w:bookmarkStart w:id="11" w:name="_Toc69310692"/>
      <w:r>
        <w:t>Analys av situationen inom HR-området</w:t>
      </w:r>
      <w:bookmarkEnd w:id="11"/>
    </w:p>
    <w:p w:rsidR="00B35DF2" w:rsidRDefault="0016399A">
      <w:pPr>
        <w:pStyle w:val="BodyText"/>
        <w:widowControl w:val="0"/>
      </w:pPr>
      <w:r>
        <w:t>Bolagets sjukfrånvaro är fortsatt påverkad av pandemin i ungefär samma omfattning som tidigare. Prognos av sjukfrånvaro på helår bygger på fortsatt, men mot hösten avklingande, effekter av covid-19. Framåt räknar bolaget med att sjukfrånvaron återgår till nivåer från 2019. Ytterligare förebyggande och främjande insatser planeras för att minska sjukfrånvaron från tidigare nivåer i vissa av bolagets yrkesgrupper då sjukfrånvaron är ojämnt fördelad inom bolaget. De högsta sjuktalen finns inom förarkår och bland verkstadspersonal.</w:t>
      </w:r>
    </w:p>
    <w:p w:rsidR="00B35DF2" w:rsidRDefault="0016399A">
      <w:pPr>
        <w:pStyle w:val="BodyText"/>
        <w:widowControl w:val="0"/>
      </w:pPr>
      <w:r>
        <w:t>Under tidigt 2020 organiserade bolaget om vilket tros ha varit en bidragande orsak till en något högre personalomsättning än tidigare. I början av 2021 ser vi nu tecken på en minskad omsättning. Minskningen bedöms fortsätta jämfört med föregående år.</w:t>
      </w:r>
    </w:p>
    <w:p w:rsidR="00B35DF2" w:rsidRDefault="0016399A">
      <w:pPr>
        <w:pStyle w:val="BodyText"/>
        <w:widowControl w:val="0"/>
      </w:pPr>
      <w:r>
        <w:t xml:space="preserve">Under februari genomförde bolaget en pilotundersökning med ett nytt mätverktyg för medarbetarundersökningar. Två av bolagets avdelningar ingick och enkäten fick en svarsfrekvens på 77 % vilket är betydligt högre än vid tidigare mätningar. Piloten omfattade dryga 10 % av GS medarbetare. Resultaten visar på att medarbetarna som svarat är relativt nöjda med GS som arbetsgivare (snitt 3,6 av max 5). Resultatet visar att fortsatt arbete med att säkerställa en arbetsplats helt fri från trakasserier och diskriminering behövs. Bolaget arbetar nu vidare med att justera enkäten utifrån erfarenheter i piloten. Inom kort kommer bolaget att distribuera enkäten till alla medarbetare samt arbeta fram jämförbara index utifrån </w:t>
      </w:r>
      <w:r>
        <w:lastRenderedPageBreak/>
        <w:t>svaren.</w:t>
      </w:r>
    </w:p>
    <w:p w:rsidR="00B35DF2" w:rsidRDefault="0016399A">
      <w:pPr>
        <w:pStyle w:val="Rubrik2"/>
      </w:pPr>
      <w:bookmarkStart w:id="12" w:name="_Toc69310693"/>
      <w:r>
        <w:t>Ekonomisk uppföljning</w:t>
      </w:r>
      <w:bookmarkEnd w:id="12"/>
    </w:p>
    <w:p w:rsidR="00B35DF2" w:rsidRDefault="0016399A">
      <w:pPr>
        <w:pStyle w:val="Tabellrubrik"/>
      </w:pPr>
      <w:r>
        <w:t>Resultaträkning i sammandrag</w:t>
      </w:r>
    </w:p>
    <w:tbl>
      <w:tblPr>
        <w:tblStyle w:val="Tabellrutnt"/>
        <w:tblOverlap w:val="never"/>
        <w:tblW w:w="10794" w:type="dxa"/>
        <w:tblInd w:w="-1600" w:type="dxa"/>
        <w:tblLayout w:type="fixed"/>
        <w:tblLook w:val="04A0" w:firstRow="1" w:lastRow="0" w:firstColumn="1" w:lastColumn="0" w:noHBand="0" w:noVBand="1"/>
      </w:tblPr>
      <w:tblGrid>
        <w:gridCol w:w="1896"/>
        <w:gridCol w:w="1093"/>
        <w:gridCol w:w="1093"/>
        <w:gridCol w:w="1019"/>
        <w:gridCol w:w="1097"/>
        <w:gridCol w:w="1165"/>
        <w:gridCol w:w="1165"/>
        <w:gridCol w:w="1187"/>
        <w:gridCol w:w="1079"/>
      </w:tblGrid>
      <w:tr w:rsidR="00B35DF2" w:rsidTr="005C34BE">
        <w:trPr>
          <w:cantSplit w:val="0"/>
          <w:trHeight w:val="328"/>
        </w:trPr>
        <w:tc>
          <w:tcPr>
            <w:tcW w:w="1896" w:type="dxa"/>
            <w:tcBorders>
              <w:top w:val="single" w:sz="4" w:space="0" w:color="auto"/>
              <w:left w:val="single" w:sz="4" w:space="0" w:color="auto"/>
              <w:bottom w:val="nil"/>
              <w:right w:val="nil"/>
            </w:tcBorders>
            <w:shd w:val="clear" w:color="auto" w:fill="E5E5E5"/>
            <w:vAlign w:val="center"/>
          </w:tcPr>
          <w:p w:rsidR="00B35DF2" w:rsidRDefault="0016399A">
            <w:pPr>
              <w:pStyle w:val="Tabellcell"/>
            </w:pPr>
            <w:bookmarkStart w:id="13" w:name="_GoBack"/>
            <w:bookmarkEnd w:id="13"/>
            <w:r>
              <w:rPr>
                <w:b/>
              </w:rPr>
              <w:t>Tkr</w:t>
            </w:r>
          </w:p>
        </w:tc>
        <w:tc>
          <w:tcPr>
            <w:tcW w:w="4302" w:type="dxa"/>
            <w:gridSpan w:val="4"/>
            <w:tcBorders>
              <w:top w:val="single" w:sz="4" w:space="0" w:color="auto"/>
              <w:left w:val="nil"/>
              <w:bottom w:val="single" w:sz="4" w:space="0" w:color="auto"/>
              <w:right w:val="nil"/>
            </w:tcBorders>
            <w:shd w:val="clear" w:color="auto" w:fill="E5E5E5"/>
            <w:vAlign w:val="bottom"/>
          </w:tcPr>
          <w:p w:rsidR="00B35DF2" w:rsidRDefault="0016399A">
            <w:pPr>
              <w:pStyle w:val="Tabellcell"/>
            </w:pPr>
            <w:r>
              <w:rPr>
                <w:b/>
              </w:rPr>
              <w:t>Period</w:t>
            </w:r>
          </w:p>
        </w:tc>
        <w:tc>
          <w:tcPr>
            <w:tcW w:w="4596" w:type="dxa"/>
            <w:gridSpan w:val="4"/>
            <w:tcBorders>
              <w:top w:val="single" w:sz="4" w:space="0" w:color="auto"/>
              <w:left w:val="nil"/>
              <w:bottom w:val="single" w:sz="4" w:space="0" w:color="auto"/>
              <w:right w:val="nil"/>
            </w:tcBorders>
            <w:shd w:val="clear" w:color="auto" w:fill="B4B4B4"/>
            <w:vAlign w:val="bottom"/>
          </w:tcPr>
          <w:p w:rsidR="00B35DF2" w:rsidRDefault="0016399A">
            <w:pPr>
              <w:pStyle w:val="Tabellcell"/>
            </w:pPr>
            <w:r>
              <w:rPr>
                <w:b/>
              </w:rPr>
              <w:t>Helår</w:t>
            </w:r>
          </w:p>
        </w:tc>
      </w:tr>
      <w:tr w:rsidR="005C34BE" w:rsidTr="005C34BE">
        <w:trPr>
          <w:cantSplit w:val="0"/>
          <w:trHeight w:val="786"/>
        </w:trPr>
        <w:tc>
          <w:tcPr>
            <w:tcW w:w="1896"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rsidR="00B35DF2" w:rsidRDefault="00B35DF2">
            <w:pPr>
              <w:pStyle w:val="Tabellcell"/>
            </w:pPr>
          </w:p>
        </w:tc>
        <w:tc>
          <w:tcPr>
            <w:tcW w:w="1093"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Utfall</w:t>
            </w:r>
          </w:p>
        </w:tc>
        <w:tc>
          <w:tcPr>
            <w:tcW w:w="1093"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Budget</w:t>
            </w:r>
          </w:p>
        </w:tc>
        <w:tc>
          <w:tcPr>
            <w:tcW w:w="1019"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Avvikelse</w:t>
            </w:r>
          </w:p>
        </w:tc>
        <w:tc>
          <w:tcPr>
            <w:tcW w:w="1096"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Utfall fg år</w:t>
            </w:r>
          </w:p>
        </w:tc>
        <w:tc>
          <w:tcPr>
            <w:tcW w:w="1165" w:type="dxa"/>
            <w:tcBorders>
              <w:top w:val="single" w:sz="4" w:space="0" w:color="auto"/>
              <w:left w:val="nil"/>
              <w:bottom w:val="single" w:sz="18" w:space="0" w:color="auto"/>
              <w:right w:val="nil"/>
            </w:tcBorders>
            <w:shd w:val="clear" w:color="auto" w:fill="B4B4B4"/>
            <w:vAlign w:val="center"/>
          </w:tcPr>
          <w:p w:rsidR="00B35DF2" w:rsidRDefault="0016399A">
            <w:pPr>
              <w:pStyle w:val="Tabellcell"/>
              <w:jc w:val="center"/>
            </w:pPr>
            <w:r>
              <w:t>Prognos</w:t>
            </w:r>
          </w:p>
        </w:tc>
        <w:tc>
          <w:tcPr>
            <w:tcW w:w="1165" w:type="dxa"/>
            <w:tcBorders>
              <w:top w:val="single" w:sz="4" w:space="0" w:color="auto"/>
              <w:left w:val="nil"/>
              <w:bottom w:val="single" w:sz="18" w:space="0" w:color="auto"/>
              <w:right w:val="nil"/>
            </w:tcBorders>
            <w:shd w:val="clear" w:color="auto" w:fill="B4B4B4"/>
            <w:vAlign w:val="center"/>
          </w:tcPr>
          <w:p w:rsidR="00B35DF2" w:rsidRDefault="0016399A">
            <w:pPr>
              <w:pStyle w:val="Tabellcell"/>
              <w:jc w:val="center"/>
            </w:pPr>
            <w:r>
              <w:t>Fg prognos</w:t>
            </w:r>
          </w:p>
        </w:tc>
        <w:tc>
          <w:tcPr>
            <w:tcW w:w="1187" w:type="dxa"/>
            <w:tcBorders>
              <w:top w:val="single" w:sz="4" w:space="0" w:color="auto"/>
              <w:left w:val="nil"/>
              <w:bottom w:val="single" w:sz="18" w:space="0" w:color="auto"/>
              <w:right w:val="nil"/>
            </w:tcBorders>
            <w:shd w:val="clear" w:color="auto" w:fill="B4B4B4"/>
            <w:vAlign w:val="center"/>
          </w:tcPr>
          <w:p w:rsidR="00B35DF2" w:rsidRDefault="0016399A">
            <w:pPr>
              <w:pStyle w:val="Tabellcell"/>
              <w:jc w:val="center"/>
            </w:pPr>
            <w:r>
              <w:t>Budget</w:t>
            </w:r>
          </w:p>
        </w:tc>
        <w:tc>
          <w:tcPr>
            <w:tcW w:w="1076" w:type="dxa"/>
            <w:tcBorders>
              <w:top w:val="single" w:sz="4" w:space="0" w:color="auto"/>
              <w:left w:val="nil"/>
              <w:bottom w:val="single" w:sz="18" w:space="0" w:color="auto"/>
              <w:right w:val="single" w:sz="4" w:space="0" w:color="auto"/>
            </w:tcBorders>
            <w:shd w:val="clear" w:color="auto" w:fill="B4B4B4"/>
            <w:vAlign w:val="center"/>
          </w:tcPr>
          <w:p w:rsidR="00B35DF2" w:rsidRDefault="0016399A">
            <w:pPr>
              <w:pStyle w:val="Tabellcell"/>
              <w:jc w:val="center"/>
            </w:pPr>
            <w:r>
              <w:t>Bokslut fg år</w:t>
            </w:r>
          </w:p>
        </w:tc>
      </w:tr>
      <w:tr w:rsidR="005C34BE" w:rsidTr="005C34BE">
        <w:trPr>
          <w:cantSplit w:val="0"/>
          <w:trHeight w:val="550"/>
        </w:trPr>
        <w:tc>
          <w:tcPr>
            <w:tcW w:w="1896"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Intäkter</w:t>
            </w:r>
          </w:p>
        </w:tc>
        <w:tc>
          <w:tcPr>
            <w:tcW w:w="1093"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292 480</w:t>
            </w:r>
          </w:p>
        </w:tc>
        <w:tc>
          <w:tcPr>
            <w:tcW w:w="1093"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289 930</w:t>
            </w:r>
          </w:p>
        </w:tc>
        <w:tc>
          <w:tcPr>
            <w:tcW w:w="1019"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2 550</w:t>
            </w:r>
          </w:p>
        </w:tc>
        <w:tc>
          <w:tcPr>
            <w:tcW w:w="1096"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284 739</w:t>
            </w:r>
          </w:p>
        </w:tc>
        <w:tc>
          <w:tcPr>
            <w:tcW w:w="116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1 139 677</w:t>
            </w:r>
          </w:p>
        </w:tc>
        <w:tc>
          <w:tcPr>
            <w:tcW w:w="116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1 137 186</w:t>
            </w:r>
          </w:p>
        </w:tc>
        <w:tc>
          <w:tcPr>
            <w:tcW w:w="1187"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1 130 886</w:t>
            </w:r>
          </w:p>
        </w:tc>
        <w:tc>
          <w:tcPr>
            <w:tcW w:w="1076"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1 159 409</w:t>
            </w:r>
          </w:p>
        </w:tc>
      </w:tr>
      <w:tr w:rsidR="005C34BE" w:rsidTr="005C34BE">
        <w:trPr>
          <w:cantSplit w:val="0"/>
          <w:trHeight w:val="770"/>
        </w:trPr>
        <w:tc>
          <w:tcPr>
            <w:tcW w:w="18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Kostnader</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-305 666</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-289 490</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-16 176</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-269 656</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-1 170 332</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-1 136 456</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-1 129 356</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-1 159 499</w:t>
            </w:r>
          </w:p>
        </w:tc>
      </w:tr>
      <w:tr w:rsidR="005C34BE" w:rsidTr="005C34BE">
        <w:trPr>
          <w:cantSplit w:val="0"/>
          <w:trHeight w:val="550"/>
        </w:trPr>
        <w:tc>
          <w:tcPr>
            <w:tcW w:w="18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rPr>
                <w:b/>
              </w:rPr>
              <w:t>Rörelseresultat</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-13 187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440</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-13 626</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15 082</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-30 654</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730</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1 530</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-91</w:t>
            </w:r>
          </w:p>
        </w:tc>
      </w:tr>
      <w:tr w:rsidR="005C34BE" w:rsidTr="005C34BE">
        <w:trPr>
          <w:cantSplit w:val="0"/>
          <w:trHeight w:val="566"/>
        </w:trPr>
        <w:tc>
          <w:tcPr>
            <w:tcW w:w="18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Finansiella intäkter</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126</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62</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64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101</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250</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250</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250</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532</w:t>
            </w:r>
          </w:p>
        </w:tc>
      </w:tr>
      <w:tr w:rsidR="005C34BE" w:rsidTr="005C34BE">
        <w:trPr>
          <w:cantSplit w:val="0"/>
          <w:trHeight w:val="550"/>
        </w:trPr>
        <w:tc>
          <w:tcPr>
            <w:tcW w:w="18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Finansiella kostnader</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-6</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-5</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-8</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-20</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-20</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-20</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-49</w:t>
            </w:r>
          </w:p>
        </w:tc>
      </w:tr>
      <w:tr w:rsidR="005C34BE" w:rsidTr="005C34BE">
        <w:trPr>
          <w:cantSplit w:val="0"/>
          <w:trHeight w:val="770"/>
        </w:trPr>
        <w:tc>
          <w:tcPr>
            <w:tcW w:w="18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rPr>
                <w:b/>
              </w:rPr>
              <w:t>Resultat efter fin. poster</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-13 067</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497</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-13 564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15 175</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-30 424</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960</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1 760</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rPr>
                <w:b/>
              </w:rPr>
              <w:t>395</w:t>
            </w:r>
          </w:p>
        </w:tc>
      </w:tr>
    </w:tbl>
    <w:p w:rsidR="00B35DF2" w:rsidRDefault="0016399A">
      <w:pPr>
        <w:pStyle w:val="Fotnot"/>
        <w:widowControl w:val="0"/>
      </w:pPr>
      <w:r>
        <w:t>Av det prognostiserade resultatet kommer vi att tillsammans med Västtrafik hantera och reglera framtida avvikelser inom ramen för Trafikavtalet. Detta underskott uppgår för närvarande till 31 384 tkr i P3 vilket beror på att vi i budget har en ofinansierad post på 34,6 Mkr som vi per mars inte ser att vi kan hantera inom budgeterad inäkt..</w:t>
      </w:r>
    </w:p>
    <w:p w:rsidR="00B35DF2" w:rsidRDefault="0016399A">
      <w:pPr>
        <w:pStyle w:val="Rubrik3"/>
      </w:pPr>
      <w:bookmarkStart w:id="14" w:name="_Toc69310694"/>
      <w:r>
        <w:t>Utfall till och med perioden</w:t>
      </w:r>
      <w:bookmarkEnd w:id="14"/>
    </w:p>
    <w:p w:rsidR="00B35DF2" w:rsidRDefault="0016399A">
      <w:pPr>
        <w:pStyle w:val="BodyText"/>
        <w:widowControl w:val="0"/>
      </w:pPr>
      <w:r>
        <w:t>Ackumulerat resultat för Trafikavtalet är -4,6 mkr, vilket är 11,9 mkr lägre än budgeterat. Avvikelsen beror till stor del på högre elkostnader, högre kostnader för ban- och spår underhåll och ett högt uttag av fordonsdelar. Här återspeglar sig också att vi har en ej finansierad budgetpost på totalt 34,6 Mkr som inkluderas som en pluspost i den ackumulerade årsbudgeten.</w:t>
      </w:r>
    </w:p>
    <w:p w:rsidR="00B35DF2" w:rsidRDefault="0016399A">
      <w:pPr>
        <w:pStyle w:val="BodyText"/>
        <w:widowControl w:val="0"/>
      </w:pPr>
      <w:r>
        <w:t>Resultatet för Banavtalet är -8,7 mkr. De ackumulerade kostnaderna överskrider totalt sett budget med drygt 1,7 mkr vilket beror på att man behövt hyra in tekniker från underentreprenörer på grund av brist på egen personal inom teknikgrenarna kontaktledning och svets. Här har krävts kostnader för introduktion, vilket inte är debiterbart.</w:t>
      </w:r>
    </w:p>
    <w:p w:rsidR="00B35DF2" w:rsidRDefault="0016399A">
      <w:pPr>
        <w:pStyle w:val="BodyText"/>
        <w:widowControl w:val="0"/>
      </w:pPr>
      <w:r>
        <w:t>Kommunikationsteknik ligger på 0,1 mkr som är helt i nivå med budget</w:t>
      </w:r>
    </w:p>
    <w:p w:rsidR="00B35DF2" w:rsidRDefault="0016399A">
      <w:pPr>
        <w:pStyle w:val="Rubrik3"/>
      </w:pPr>
      <w:bookmarkStart w:id="15" w:name="_Toc69310695"/>
      <w:r>
        <w:t>Prognos</w:t>
      </w:r>
      <w:bookmarkEnd w:id="15"/>
    </w:p>
    <w:p w:rsidR="00B35DF2" w:rsidRDefault="0016399A">
      <w:pPr>
        <w:pStyle w:val="BodyText"/>
        <w:widowControl w:val="0"/>
      </w:pPr>
      <w:r>
        <w:t xml:space="preserve">Prognos för Trafikavtalet uppgår till -31,4 Mkr vilket framför allt beror på att vi har en ofinansierad post i vår budget på 34,6 Mkr som vi i nu läget inte ser att vi kan hantera inom ramen för vår budgeterade intäkt. En viktig faktor är att bolaget är i en övergångsfas mellan utfasning av äldre fordon (vars kostnader ökar) och </w:t>
      </w:r>
      <w:r>
        <w:lastRenderedPageBreak/>
        <w:t>försenad infasning av nya fordon (som omöjliggör planerad systemförändring).</w:t>
      </w:r>
    </w:p>
    <w:p w:rsidR="00B35DF2" w:rsidRDefault="0016399A">
      <w:pPr>
        <w:pStyle w:val="BodyText"/>
        <w:widowControl w:val="0"/>
      </w:pPr>
      <w:r>
        <w:t>Observera att resultatet för Trafikavtalet kommer vid årets slut att regleras mellan Västtrafik och Göteborgs Spårvägar.</w:t>
      </w:r>
    </w:p>
    <w:p w:rsidR="00B35DF2" w:rsidRDefault="0016399A">
      <w:pPr>
        <w:pStyle w:val="BodyText"/>
        <w:widowControl w:val="0"/>
      </w:pPr>
      <w:r>
        <w:t>Prognos för Banavtalet är också lägre än budgeterat (-0,8 Mkr) till följd av att vi varit tvungna att hantera viss verksamhet med underentreprenörer i väntan på att kunna rekrytera.</w:t>
      </w:r>
    </w:p>
    <w:p w:rsidR="00B35DF2" w:rsidRDefault="0016399A">
      <w:pPr>
        <w:pStyle w:val="Rubrik3"/>
      </w:pPr>
      <w:bookmarkStart w:id="16" w:name="_Toc69310696"/>
      <w:r>
        <w:t>Resultat per affärsområde/dotterbolag eller motsvarande</w:t>
      </w:r>
      <w:bookmarkEnd w:id="16"/>
    </w:p>
    <w:tbl>
      <w:tblPr>
        <w:tblStyle w:val="Tabellrutnt"/>
        <w:tblOverlap w:val="never"/>
        <w:tblW w:w="0" w:type="auto"/>
        <w:tblLayout w:type="fixed"/>
        <w:tblLook w:val="04A0" w:firstRow="1" w:lastRow="0" w:firstColumn="1" w:lastColumn="0" w:noHBand="0" w:noVBand="1"/>
      </w:tblPr>
      <w:tblGrid>
        <w:gridCol w:w="1474"/>
        <w:gridCol w:w="835"/>
        <w:gridCol w:w="835"/>
        <w:gridCol w:w="884"/>
        <w:gridCol w:w="835"/>
        <w:gridCol w:w="835"/>
        <w:gridCol w:w="835"/>
        <w:gridCol w:w="835"/>
      </w:tblGrid>
      <w:tr w:rsidR="00B35DF2">
        <w:trPr>
          <w:cantSplit w:val="0"/>
        </w:trPr>
        <w:tc>
          <w:tcPr>
            <w:tcW w:w="1474" w:type="dxa"/>
            <w:tcBorders>
              <w:top w:val="single" w:sz="4" w:space="0" w:color="auto"/>
              <w:left w:val="single" w:sz="4" w:space="0" w:color="auto"/>
              <w:bottom w:val="nil"/>
              <w:right w:val="nil"/>
            </w:tcBorders>
            <w:shd w:val="clear" w:color="auto" w:fill="E5E5E5"/>
            <w:vAlign w:val="center"/>
          </w:tcPr>
          <w:p w:rsidR="00B35DF2" w:rsidRDefault="0016399A">
            <w:pPr>
              <w:pStyle w:val="Tabellcell"/>
            </w:pPr>
            <w:r>
              <w:rPr>
                <w:b/>
              </w:rPr>
              <w:t>mars</w:t>
            </w:r>
          </w:p>
        </w:tc>
        <w:tc>
          <w:tcPr>
            <w:tcW w:w="2554" w:type="dxa"/>
            <w:gridSpan w:val="3"/>
            <w:tcBorders>
              <w:top w:val="single" w:sz="4" w:space="0" w:color="auto"/>
              <w:left w:val="nil"/>
              <w:bottom w:val="single" w:sz="4" w:space="0" w:color="auto"/>
              <w:right w:val="nil"/>
            </w:tcBorders>
            <w:shd w:val="clear" w:color="auto" w:fill="E5E5E5"/>
            <w:vAlign w:val="bottom"/>
          </w:tcPr>
          <w:p w:rsidR="00B35DF2" w:rsidRDefault="0016399A">
            <w:pPr>
              <w:pStyle w:val="Tabellcell"/>
            </w:pPr>
            <w:r>
              <w:rPr>
                <w:b/>
              </w:rPr>
              <w:t>Period</w:t>
            </w:r>
          </w:p>
        </w:tc>
        <w:tc>
          <w:tcPr>
            <w:tcW w:w="3340" w:type="dxa"/>
            <w:gridSpan w:val="4"/>
            <w:tcBorders>
              <w:top w:val="single" w:sz="4" w:space="0" w:color="auto"/>
              <w:left w:val="nil"/>
              <w:bottom w:val="single" w:sz="4" w:space="0" w:color="auto"/>
              <w:right w:val="nil"/>
            </w:tcBorders>
            <w:shd w:val="clear" w:color="auto" w:fill="B4B4B4"/>
            <w:vAlign w:val="bottom"/>
          </w:tcPr>
          <w:p w:rsidR="00B35DF2" w:rsidRDefault="0016399A">
            <w:pPr>
              <w:pStyle w:val="Tabellcell"/>
            </w:pPr>
            <w:r>
              <w:rPr>
                <w:b/>
              </w:rPr>
              <w:t>Helår</w:t>
            </w:r>
          </w:p>
        </w:tc>
      </w:tr>
      <w:tr w:rsidR="00B35DF2">
        <w:trPr>
          <w:cantSplit w:val="0"/>
        </w:trPr>
        <w:tc>
          <w:tcPr>
            <w:tcW w:w="1474" w:type="dxa"/>
            <w:tcBorders>
              <w:top w:val="nil"/>
              <w:left w:val="single" w:sz="4" w:space="0" w:color="auto"/>
              <w:bottom w:val="single" w:sz="18" w:space="0" w:color="auto"/>
              <w:right w:val="nil"/>
            </w:tcBorders>
            <w:shd w:val="clear" w:color="auto" w:fill="E5E5E5"/>
            <w:vAlign w:val="center"/>
          </w:tcPr>
          <w:p w:rsidR="00B35DF2" w:rsidRDefault="0016399A">
            <w:pPr>
              <w:pStyle w:val="Tabellcell"/>
            </w:pPr>
            <w:r>
              <w:rPr>
                <w:b/>
              </w:rPr>
              <w:t>Tkr</w:t>
            </w:r>
          </w:p>
        </w:tc>
        <w:tc>
          <w:tcPr>
            <w:tcW w:w="835"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Utfall</w:t>
            </w:r>
          </w:p>
        </w:tc>
        <w:tc>
          <w:tcPr>
            <w:tcW w:w="835"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Budget</w:t>
            </w:r>
          </w:p>
        </w:tc>
        <w:tc>
          <w:tcPr>
            <w:tcW w:w="884" w:type="dxa"/>
            <w:tcBorders>
              <w:top w:val="single" w:sz="4" w:space="0" w:color="auto"/>
              <w:left w:val="nil"/>
              <w:bottom w:val="single" w:sz="18" w:space="0" w:color="auto"/>
              <w:right w:val="nil"/>
            </w:tcBorders>
            <w:shd w:val="clear" w:color="auto" w:fill="E5E5E5"/>
            <w:vAlign w:val="center"/>
          </w:tcPr>
          <w:p w:rsidR="00B35DF2" w:rsidRDefault="0016399A">
            <w:pPr>
              <w:pStyle w:val="Tabellcell"/>
              <w:jc w:val="center"/>
            </w:pPr>
            <w:r>
              <w:t>Avvikelse</w:t>
            </w:r>
          </w:p>
        </w:tc>
        <w:tc>
          <w:tcPr>
            <w:tcW w:w="835" w:type="dxa"/>
            <w:tcBorders>
              <w:top w:val="single" w:sz="4" w:space="0" w:color="auto"/>
              <w:left w:val="nil"/>
              <w:bottom w:val="single" w:sz="18" w:space="0" w:color="auto"/>
              <w:right w:val="nil"/>
            </w:tcBorders>
            <w:shd w:val="clear" w:color="auto" w:fill="B4B4B4"/>
            <w:vAlign w:val="center"/>
          </w:tcPr>
          <w:p w:rsidR="00B35DF2" w:rsidRDefault="0016399A">
            <w:pPr>
              <w:pStyle w:val="Tabellcell"/>
              <w:jc w:val="center"/>
            </w:pPr>
            <w:r>
              <w:t>Prognos</w:t>
            </w:r>
          </w:p>
        </w:tc>
        <w:tc>
          <w:tcPr>
            <w:tcW w:w="835" w:type="dxa"/>
            <w:tcBorders>
              <w:top w:val="single" w:sz="4" w:space="0" w:color="auto"/>
              <w:left w:val="nil"/>
              <w:bottom w:val="single" w:sz="18" w:space="0" w:color="auto"/>
              <w:right w:val="nil"/>
            </w:tcBorders>
            <w:shd w:val="clear" w:color="auto" w:fill="B4B4B4"/>
            <w:vAlign w:val="center"/>
          </w:tcPr>
          <w:p w:rsidR="00B35DF2" w:rsidRDefault="0016399A">
            <w:pPr>
              <w:pStyle w:val="Tabellcell"/>
              <w:jc w:val="center"/>
            </w:pPr>
            <w:r>
              <w:t>Fg prognos</w:t>
            </w:r>
          </w:p>
        </w:tc>
        <w:tc>
          <w:tcPr>
            <w:tcW w:w="835" w:type="dxa"/>
            <w:tcBorders>
              <w:top w:val="single" w:sz="4" w:space="0" w:color="auto"/>
              <w:left w:val="nil"/>
              <w:bottom w:val="single" w:sz="18" w:space="0" w:color="auto"/>
              <w:right w:val="nil"/>
            </w:tcBorders>
            <w:shd w:val="clear" w:color="auto" w:fill="B4B4B4"/>
            <w:vAlign w:val="center"/>
          </w:tcPr>
          <w:p w:rsidR="00B35DF2" w:rsidRDefault="0016399A">
            <w:pPr>
              <w:pStyle w:val="Tabellcell"/>
              <w:jc w:val="center"/>
            </w:pPr>
            <w:r>
              <w:t>Budget</w:t>
            </w:r>
          </w:p>
        </w:tc>
        <w:tc>
          <w:tcPr>
            <w:tcW w:w="835" w:type="dxa"/>
            <w:tcBorders>
              <w:top w:val="single" w:sz="4" w:space="0" w:color="auto"/>
              <w:left w:val="nil"/>
              <w:bottom w:val="single" w:sz="18" w:space="0" w:color="auto"/>
              <w:right w:val="single" w:sz="4" w:space="0" w:color="auto"/>
            </w:tcBorders>
            <w:shd w:val="clear" w:color="auto" w:fill="B4B4B4"/>
            <w:vAlign w:val="center"/>
          </w:tcPr>
          <w:p w:rsidR="00B35DF2" w:rsidRDefault="0016399A">
            <w:pPr>
              <w:pStyle w:val="Tabellcell"/>
              <w:jc w:val="center"/>
            </w:pPr>
            <w:r>
              <w:t>Bokslut fg år</w:t>
            </w:r>
          </w:p>
        </w:tc>
      </w:tr>
      <w:tr w:rsidR="00B35DF2">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Trafikavtalet</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-4 651</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7 279</w:t>
            </w:r>
          </w:p>
        </w:tc>
        <w:tc>
          <w:tcPr>
            <w:tcW w:w="884"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-11 931</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-31 384</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Banavtalet</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-8 679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-6 983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-1 696</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730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730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1 530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-588</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Kommunikations-</w:t>
            </w:r>
            <w:r>
              <w:br/>
              <w:t>teknik</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143</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143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497</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Rörelseresultat</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-13 187</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440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-13 627</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-30 654</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730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1 530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-91</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Finansiellt netto</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120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58</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62</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230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485</w:t>
            </w:r>
          </w:p>
        </w:tc>
      </w:tr>
      <w:tr w:rsidR="00B35DF2">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Resultat efter tin poster</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-13 067</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497</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-13 564</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-30 424</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960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1 760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395</w:t>
            </w:r>
          </w:p>
        </w:tc>
      </w:tr>
    </w:tbl>
    <w:p w:rsidR="00B35DF2" w:rsidRDefault="0016399A">
      <w:pPr>
        <w:pStyle w:val="Fotnot"/>
        <w:widowControl w:val="0"/>
      </w:pPr>
      <w:r>
        <w:t>Av det prognostiserade resultatet kommer vi att tillsammans med Västtrafik hantera och reglera framtida avvikelser inom ramen för Trafikavtalet. Detta underskott uppgår för närvarande till 31 384 tkr i P3 vilket beror på att vi i budget har en ofinansierad post på 34,6 Mkr som vi per mars inte ser att vi kan hantera inom budgeterad intäkt..</w:t>
      </w:r>
    </w:p>
    <w:p w:rsidR="00B35DF2" w:rsidRDefault="0016399A">
      <w:pPr>
        <w:pStyle w:val="Rubrik3"/>
      </w:pPr>
      <w:bookmarkStart w:id="17" w:name="_Toc69310697"/>
      <w:r>
        <w:t>Investeringsredovisning</w:t>
      </w:r>
      <w:bookmarkEnd w:id="17"/>
    </w:p>
    <w:p w:rsidR="00B35DF2" w:rsidRDefault="0016399A">
      <w:pPr>
        <w:pStyle w:val="Rubrik4"/>
      </w:pPr>
      <w:r>
        <w:t>Projektredovisning investeringsobjekt, pågående och kommande projekt enligt investeringsplaner</w:t>
      </w:r>
    </w:p>
    <w:tbl>
      <w:tblPr>
        <w:tblStyle w:val="Tabellrutnt"/>
        <w:tblOverlap w:val="never"/>
        <w:tblW w:w="0" w:type="auto"/>
        <w:tblLayout w:type="fixed"/>
        <w:tblLook w:val="04A0" w:firstRow="1" w:lastRow="0" w:firstColumn="1" w:lastColumn="0" w:noHBand="0" w:noVBand="1"/>
      </w:tblPr>
      <w:tblGrid>
        <w:gridCol w:w="2457"/>
        <w:gridCol w:w="1228"/>
        <w:gridCol w:w="1228"/>
        <w:gridCol w:w="1228"/>
        <w:gridCol w:w="1228"/>
      </w:tblGrid>
      <w:tr w:rsidR="00B35DF2">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Benämning projekt enl. inv. plan,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Budget per projekt</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Ack utfall tom perioden</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Aktuell prognos för hela projektet</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jc w:val="center"/>
            </w:pPr>
            <w:r>
              <w:rPr>
                <w:b/>
              </w:rPr>
              <w:t>Beräknas färdigt (år, kv)</w:t>
            </w:r>
          </w:p>
        </w:tc>
      </w:tr>
      <w:tr w:rsidR="00B35DF2">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Slipfordon ersättare</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17 Mkr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19 Mkr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2023 Q3</w:t>
            </w:r>
          </w:p>
        </w:tc>
      </w:tr>
      <w:tr w:rsidR="00B35DF2">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Byte av destinationsskyltar M31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9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9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2021 Q4</w:t>
            </w:r>
          </w:p>
        </w:tc>
      </w:tr>
      <w:tr w:rsidR="00B35DF2">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M33 Specifik utrustning</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6,2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6,2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2021 Q1</w:t>
            </w:r>
          </w:p>
        </w:tc>
      </w:tr>
      <w:tr w:rsidR="00B35DF2">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Mätsystem för kontaktledning</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8,0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1,6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2021 Q1</w:t>
            </w:r>
          </w:p>
        </w:tc>
      </w:tr>
      <w:tr w:rsidR="00B35DF2">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Fast sandanläggning Depå Ringön etapp 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4,0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2021 Q1</w:t>
            </w:r>
          </w:p>
        </w:tc>
      </w:tr>
      <w:tr w:rsidR="00B35DF2">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t>Lastbil ersättare för CWO 402</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2021 Q4</w:t>
            </w:r>
          </w:p>
        </w:tc>
      </w:tr>
      <w:tr w:rsidR="00B35DF2">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pPr>
            <w:r>
              <w:lastRenderedPageBreak/>
              <w:t>Lastbil, ersättare för WFX976</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6,0 Mkr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B35DF2" w:rsidRDefault="0016399A">
            <w:pPr>
              <w:pStyle w:val="Tabellcell"/>
              <w:jc w:val="right"/>
            </w:pPr>
            <w:r>
              <w:t>2021 Q4</w:t>
            </w:r>
          </w:p>
        </w:tc>
      </w:tr>
    </w:tbl>
    <w:p w:rsidR="00B35DF2" w:rsidRDefault="0016399A">
      <w:pPr>
        <w:pStyle w:val="Rubrik2"/>
      </w:pPr>
      <w:bookmarkStart w:id="18" w:name="_Toc69310698"/>
      <w:r>
        <w:t>Uppföljning av särskilda beslut och uppdrag</w:t>
      </w:r>
      <w:bookmarkEnd w:id="18"/>
    </w:p>
    <w:p w:rsidR="00B35DF2" w:rsidRDefault="0016399A">
      <w:pPr>
        <w:pStyle w:val="Rubrik3"/>
      </w:pPr>
      <w:bookmarkStart w:id="19" w:name="_Toc69310699"/>
      <w:r>
        <w:t>Övriga beslut och/eller uppdrag</w:t>
      </w:r>
      <w:bookmarkEnd w:id="19"/>
    </w:p>
    <w:p w:rsidR="00B35DF2" w:rsidRDefault="0016399A">
      <w:pPr>
        <w:pStyle w:val="BodyText"/>
        <w:widowControl w:val="0"/>
      </w:pPr>
      <w:r>
        <w:rPr>
          <w:b/>
        </w:rPr>
        <w:t>Projekt M33</w:t>
      </w:r>
    </w:p>
    <w:p w:rsidR="00B35DF2" w:rsidRDefault="0016399A">
      <w:pPr>
        <w:pStyle w:val="BodyText"/>
        <w:widowControl w:val="0"/>
      </w:pPr>
      <w:r>
        <w:t>Kommunstyrelsen i Göteborg uppdrog under 2013 till GSAB att upphandla nästa generation spårvagn.</w:t>
      </w:r>
    </w:p>
    <w:p w:rsidR="00B35DF2" w:rsidRDefault="0016399A">
      <w:pPr>
        <w:pStyle w:val="BodyText"/>
        <w:widowControl w:val="0"/>
      </w:pPr>
      <w:r>
        <w:t>I slutet av 2019 överläts avtalet med leverantören till Västra Götalandsregionen och GSAB driver sedan dess M33- projektet på uppdrag av VGR och dess dotterbolag Västtrafik.</w:t>
      </w:r>
    </w:p>
    <w:p w:rsidR="00B35DF2" w:rsidRDefault="0016399A">
      <w:pPr>
        <w:pStyle w:val="BodyText"/>
        <w:widowControl w:val="0"/>
      </w:pPr>
      <w:r>
        <w:t>De två första vagnarna levererades under våren 2020 och har efter tester och myndighetsgodkännande satts i trafik. Dessa vagnar har producerat de 20 000 km som avtalet stipulerar och är föremål för slutligt godkännande. Ytterligare 3 vagnar har levererats och det finns en leveransplan finns för de resterande 35 vagnarna som hittills beställts.</w:t>
      </w:r>
    </w:p>
    <w:p w:rsidR="00B35DF2" w:rsidRDefault="0016399A">
      <w:pPr>
        <w:pStyle w:val="BodyText"/>
        <w:widowControl w:val="0"/>
      </w:pPr>
      <w:r>
        <w:t>Tyvärr är projektet drabbat av förseningar, bl a beroende på den pandemi som pågår. Detta drabbar projektet negativt på många olika sätt</w:t>
      </w:r>
    </w:p>
    <w:p w:rsidR="00B35DF2" w:rsidRDefault="0016399A">
      <w:pPr>
        <w:pStyle w:val="Rubrik1-Sidbryt"/>
      </w:pPr>
      <w:bookmarkStart w:id="20" w:name="_Toc69310700"/>
      <w:r>
        <w:lastRenderedPageBreak/>
        <w:t>Uppföljning till Göteborgs Stadshus AB</w:t>
      </w:r>
      <w:bookmarkEnd w:id="20"/>
    </w:p>
    <w:p w:rsidR="00B35DF2" w:rsidRDefault="0016399A">
      <w:pPr>
        <w:pStyle w:val="Tabellrubrik"/>
      </w:pPr>
      <w:r>
        <w:t>Uppföljning av bolagsstyrelsens utvärdering av eget arbete 2020</w:t>
      </w:r>
    </w:p>
    <w:tbl>
      <w:tblPr>
        <w:tblStyle w:val="Tabellrutnt"/>
        <w:tblOverlap w:val="never"/>
        <w:tblW w:w="0" w:type="auto"/>
        <w:tblLook w:val="04A0" w:firstRow="1" w:lastRow="0" w:firstColumn="1" w:lastColumn="0" w:noHBand="0" w:noVBand="1"/>
      </w:tblPr>
      <w:tblGrid>
        <w:gridCol w:w="3681"/>
        <w:gridCol w:w="3679"/>
      </w:tblGrid>
      <w:tr w:rsidR="00B35DF2">
        <w:trPr>
          <w:cantSplit w:val="0"/>
        </w:trPr>
        <w:tc>
          <w:tcPr>
            <w:tcW w:w="3685"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Datum för beslut</w:t>
            </w:r>
          </w:p>
        </w:tc>
        <w:tc>
          <w:tcPr>
            <w:tcW w:w="3685" w:type="dxa"/>
            <w:tcBorders>
              <w:top w:val="single" w:sz="4" w:space="0" w:color="auto"/>
              <w:left w:val="single" w:sz="4" w:space="0" w:color="auto"/>
              <w:bottom w:val="single" w:sz="18" w:space="0" w:color="auto"/>
              <w:right w:val="single" w:sz="4" w:space="0" w:color="auto"/>
            </w:tcBorders>
            <w:shd w:val="clear" w:color="auto" w:fill="E5E5E5"/>
            <w:tcMar>
              <w:top w:w="0" w:type="dxa"/>
              <w:left w:w="0" w:type="dxa"/>
              <w:bottom w:w="0" w:type="dxa"/>
              <w:right w:w="0" w:type="dxa"/>
            </w:tcMar>
            <w:vAlign w:val="center"/>
          </w:tcPr>
          <w:p w:rsidR="00B35DF2" w:rsidRDefault="00B35DF2">
            <w:pPr>
              <w:pStyle w:val="Tabellcell"/>
            </w:pPr>
          </w:p>
        </w:tc>
      </w:tr>
    </w:tbl>
    <w:p w:rsidR="00B35DF2" w:rsidRDefault="0016399A">
      <w:pPr>
        <w:pStyle w:val="Tabellrubrik"/>
      </w:pPr>
      <w:r>
        <w:t>Uppföljning kassaflöde, lån samt realisationsresultat</w:t>
      </w:r>
    </w:p>
    <w:tbl>
      <w:tblPr>
        <w:tblStyle w:val="Tabellrutnt"/>
        <w:tblOverlap w:val="never"/>
        <w:tblW w:w="0" w:type="auto"/>
        <w:tblLook w:val="04A0" w:firstRow="1" w:lastRow="0" w:firstColumn="1" w:lastColumn="0" w:noHBand="0" w:noVBand="1"/>
      </w:tblPr>
      <w:tblGrid>
        <w:gridCol w:w="1967"/>
        <w:gridCol w:w="1441"/>
        <w:gridCol w:w="856"/>
        <w:gridCol w:w="3096"/>
      </w:tblGrid>
      <w:tr w:rsidR="00B35DF2">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Lån mnkr</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Volym 31 mars</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Prognos 31 dec 2021</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B35DF2" w:rsidRDefault="0016399A">
            <w:pPr>
              <w:pStyle w:val="Tabellcell"/>
            </w:pPr>
            <w:r>
              <w:rPr>
                <w:b/>
              </w:rPr>
              <w:t>Volym 31 dec 2020</w:t>
            </w:r>
          </w:p>
        </w:tc>
      </w:tr>
      <w:tr w:rsidR="00B35DF2">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Summa</w:t>
            </w:r>
          </w:p>
        </w:tc>
        <w:tc>
          <w:tcPr>
            <w:tcW w:w="1842"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0</w:t>
            </w:r>
          </w:p>
        </w:tc>
        <w:tc>
          <w:tcPr>
            <w:tcW w:w="1842"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0</w:t>
            </w:r>
          </w:p>
        </w:tc>
        <w:tc>
          <w:tcPr>
            <w:tcW w:w="1842" w:type="dxa"/>
            <w:tcBorders>
              <w:top w:val="single" w:sz="18" w:space="0" w:color="auto"/>
              <w:left w:val="single" w:sz="4" w:space="0" w:color="auto"/>
              <w:bottom w:val="single" w:sz="4" w:space="0" w:color="auto"/>
              <w:right w:val="single" w:sz="4" w:space="0" w:color="auto"/>
            </w:tcBorders>
            <w:shd w:val="clear" w:color="auto" w:fill="FFFFFF"/>
          </w:tcPr>
          <w:p w:rsidR="00B35DF2" w:rsidRDefault="0016399A">
            <w:pPr>
              <w:pStyle w:val="Tabellcell"/>
            </w:pPr>
            <w:r>
              <w:t>0</w:t>
            </w: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Kassaflöde</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Rullande 12 mån</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Prognos helår 2021</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tcPr>
          <w:p w:rsidR="00B35DF2" w:rsidRDefault="00B35DF2">
            <w:pPr>
              <w:pStyle w:val="Tabellcell"/>
            </w:pP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Löpande verksamhet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26,2</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t>-2,1</w:t>
            </w: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Investeringsverksamhet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-12,6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67,4</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t>1,2</w:t>
            </w: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Finansieringsverksamhet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0</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t>0</w:t>
            </w: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SUMMA</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-12.6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5DF2" w:rsidRDefault="0016399A">
            <w:pPr>
              <w:pStyle w:val="Tabellcell"/>
            </w:pPr>
            <w:r>
              <w:t>-93,6</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t>-0,9</w:t>
            </w: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Specifikation rearesultat avyttring fastighet/bolag</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Objekt (fastighet/bolag)</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Utfall period</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B35DF2" w:rsidRDefault="0016399A">
            <w:pPr>
              <w:pStyle w:val="Tabellcell"/>
            </w:pPr>
            <w:r>
              <w:rPr>
                <w:b/>
              </w:rPr>
              <w:t>Motpart (externt/kommun/Stadshuskoncernen)</w:t>
            </w:r>
          </w:p>
        </w:tc>
      </w:tr>
      <w:tr w:rsidR="00B35DF2">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35DF2" w:rsidRDefault="00B35DF2">
            <w:pPr>
              <w:pStyle w:val="Tabellcell"/>
            </w:pPr>
          </w:p>
        </w:tc>
      </w:tr>
    </w:tbl>
    <w:p w:rsidR="00084DBF" w:rsidRDefault="00084DBF"/>
    <w:sectPr w:rsidR="00084DB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8E8" w:rsidRDefault="00CA18E8" w:rsidP="00FD14E4">
      <w:pPr>
        <w:spacing w:after="0" w:line="240" w:lineRule="auto"/>
      </w:pPr>
      <w:r>
        <w:separator/>
      </w:r>
    </w:p>
  </w:endnote>
  <w:endnote w:type="continuationSeparator" w:id="0">
    <w:p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5C34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topFromText="851" w:vertAnchor="page" w:horzAnchor="page" w:tblpX="1419" w:tblpY="15650"/>
      <w:tblOverlap w:val="never"/>
      <w:tblW w:w="8520"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Pr>
    <w:tblGrid>
      <w:gridCol w:w="6946"/>
      <w:gridCol w:w="1574"/>
    </w:tblGrid>
    <w:tr w:rsidR="00C31ADA" w:rsidRPr="00C4334D" w:rsidTr="00646753">
      <w:trPr>
        <w:trHeight w:val="207"/>
      </w:trPr>
      <w:tc>
        <w:tcPr>
          <w:tcW w:w="6946" w:type="dxa"/>
        </w:tcPr>
        <w:p w:rsidR="00C31ADA" w:rsidRPr="0013286A" w:rsidRDefault="0016399A" w:rsidP="00DC5106">
          <w:pPr>
            <w:pStyle w:val="Sidfot"/>
            <w:spacing w:after="100"/>
            <w:rPr>
              <w:rFonts w:ascii="Arial" w:hAnsi="Arial" w:cs="Arial"/>
            </w:rPr>
          </w:pPr>
          <w:r w:rsidRPr="0013286A">
            <w:rPr>
              <w:rFonts w:ascii="Arial" w:hAnsi="Arial" w:cs="Arial"/>
            </w:rPr>
            <w:t>Delårsrapport mars 2021 Bolag</w:t>
          </w:r>
          <w:r>
            <w:rPr>
              <w:rFonts w:ascii="Arial" w:hAnsi="Arial" w:cs="Arial"/>
            </w:rPr>
            <w:t xml:space="preserve"> </w:t>
          </w:r>
        </w:p>
      </w:tc>
      <w:tc>
        <w:tcPr>
          <w:tcW w:w="1574" w:type="dxa"/>
        </w:tcPr>
        <w:p w:rsidR="00C31ADA" w:rsidRPr="00ED4363" w:rsidRDefault="0016399A" w:rsidP="00DC5106">
          <w:pPr>
            <w:pStyle w:val="Sidfot"/>
            <w:spacing w:after="100"/>
            <w:jc w:val="right"/>
            <w:rPr>
              <w:rFonts w:ascii="Arial" w:hAnsi="Arial" w:cs="Arial"/>
            </w:rPr>
          </w:pPr>
          <w:r w:rsidRPr="00ED4363">
            <w:rPr>
              <w:rFonts w:ascii="Arial" w:hAnsi="Arial" w:cs="Arial"/>
            </w:rPr>
            <w:fldChar w:fldCharType="begin"/>
          </w:r>
          <w:r w:rsidRPr="00ED4363">
            <w:rPr>
              <w:rFonts w:ascii="Arial" w:hAnsi="Arial" w:cs="Arial"/>
            </w:rPr>
            <w:instrText xml:space="preserve"> PAGE   \* MERGEFORMAT </w:instrText>
          </w:r>
          <w:r w:rsidRPr="00ED4363">
            <w:rPr>
              <w:rFonts w:ascii="Arial" w:hAnsi="Arial" w:cs="Arial"/>
            </w:rPr>
            <w:fldChar w:fldCharType="separate"/>
          </w:r>
          <w:r w:rsidRPr="00ED4363">
            <w:rPr>
              <w:rFonts w:ascii="Arial" w:hAnsi="Arial" w:cs="Arial"/>
              <w:noProof/>
            </w:rPr>
            <w:t>2</w:t>
          </w:r>
          <w:r w:rsidRPr="00ED4363">
            <w:rPr>
              <w:rFonts w:ascii="Arial" w:hAnsi="Arial" w:cs="Arial"/>
            </w:rPr>
            <w:fldChar w:fldCharType="end"/>
          </w:r>
          <w:r w:rsidRPr="00ED4363">
            <w:rPr>
              <w:rFonts w:ascii="Arial" w:hAnsi="Arial" w:cs="Arial"/>
            </w:rPr>
            <w:t xml:space="preserve"> (</w:t>
          </w:r>
          <w:r w:rsidRPr="00ED4363">
            <w:rPr>
              <w:rFonts w:ascii="Arial" w:hAnsi="Arial" w:cs="Arial"/>
              <w:noProof/>
            </w:rPr>
            <w:fldChar w:fldCharType="begin"/>
          </w:r>
          <w:r w:rsidRPr="00ED4363">
            <w:rPr>
              <w:rFonts w:ascii="Arial" w:hAnsi="Arial" w:cs="Arial"/>
              <w:noProof/>
            </w:rPr>
            <w:instrText xml:space="preserve"> NUMPAGES   \* MERGEFORMAT </w:instrText>
          </w:r>
          <w:r w:rsidRPr="00ED4363">
            <w:rPr>
              <w:rFonts w:ascii="Arial" w:hAnsi="Arial" w:cs="Arial"/>
              <w:noProof/>
            </w:rPr>
            <w:fldChar w:fldCharType="separate"/>
          </w:r>
          <w:r w:rsidRPr="00ED4363">
            <w:rPr>
              <w:rFonts w:ascii="Arial" w:hAnsi="Arial" w:cs="Arial"/>
              <w:noProof/>
            </w:rPr>
            <w:t>2</w:t>
          </w:r>
          <w:r w:rsidRPr="00ED4363">
            <w:rPr>
              <w:rFonts w:ascii="Arial" w:hAnsi="Arial" w:cs="Arial"/>
              <w:noProof/>
            </w:rPr>
            <w:fldChar w:fldCharType="end"/>
          </w:r>
          <w:r w:rsidRPr="00ED4363">
            <w:rPr>
              <w:rFonts w:ascii="Arial" w:hAnsi="Arial" w:cs="Arial"/>
            </w:rPr>
            <w:t>)</w:t>
          </w:r>
        </w:p>
      </w:tc>
    </w:tr>
    <w:tr w:rsidR="00C31ADA" w:rsidRPr="00AE7954" w:rsidTr="00646753">
      <w:trPr>
        <w:trHeight w:val="207"/>
      </w:trPr>
      <w:tc>
        <w:tcPr>
          <w:tcW w:w="6946" w:type="dxa"/>
        </w:tcPr>
        <w:p w:rsidR="00C31ADA" w:rsidRPr="00AE7954" w:rsidRDefault="0016399A" w:rsidP="00DC5106">
          <w:pPr>
            <w:pStyle w:val="Sidfot"/>
            <w:spacing w:after="100"/>
          </w:pPr>
          <w:r w:rsidRPr="0013286A">
            <w:rPr>
              <w:rFonts w:ascii="Arial" w:hAnsi="Arial" w:cs="Arial"/>
            </w:rPr>
            <w:t>Göteborgs Spårvägar AB</w:t>
          </w:r>
        </w:p>
      </w:tc>
      <w:tc>
        <w:tcPr>
          <w:tcW w:w="1574" w:type="dxa"/>
        </w:tcPr>
        <w:p w:rsidR="00C31ADA" w:rsidRPr="0013286A" w:rsidRDefault="005C34BE" w:rsidP="00DC5106">
          <w:pPr>
            <w:pStyle w:val="Sidfot"/>
            <w:spacing w:after="100"/>
            <w:rPr>
              <w:rFonts w:ascii="Arial" w:hAnsi="Arial" w:cs="Arial"/>
            </w:rPr>
          </w:pPr>
        </w:p>
      </w:tc>
    </w:tr>
    <w:tr w:rsidR="00C31ADA" w:rsidTr="00094C55">
      <w:trPr>
        <w:trHeight w:val="207"/>
      </w:trPr>
      <w:tc>
        <w:tcPr>
          <w:tcW w:w="6946" w:type="dxa"/>
        </w:tcPr>
        <w:p w:rsidR="00C31ADA" w:rsidRPr="00460C9B" w:rsidRDefault="005C34BE" w:rsidP="00DC5106">
          <w:pPr>
            <w:pStyle w:val="Sidfot"/>
            <w:spacing w:after="100"/>
            <w:rPr>
              <w:rFonts w:ascii="Arial" w:hAnsi="Arial" w:cs="Arial"/>
            </w:rPr>
          </w:pPr>
        </w:p>
      </w:tc>
      <w:tc>
        <w:tcPr>
          <w:tcW w:w="1574" w:type="dxa"/>
          <w:vAlign w:val="center"/>
        </w:tcPr>
        <w:p w:rsidR="00C31ADA" w:rsidRPr="0013286A" w:rsidRDefault="0016399A" w:rsidP="00094C55">
          <w:pPr>
            <w:pStyle w:val="Sidfot"/>
            <w:spacing w:after="100"/>
            <w:jc w:val="right"/>
            <w:rPr>
              <w:rFonts w:ascii="Arial" w:hAnsi="Arial" w:cs="Arial"/>
            </w:rPr>
          </w:pPr>
          <w:r>
            <w:rPr>
              <w:rFonts w:ascii="Arial" w:hAnsi="Arial" w:cs="Arial"/>
            </w:rPr>
            <w:fldChar w:fldCharType="begin"/>
          </w:r>
          <w:r>
            <w:rPr>
              <w:rFonts w:ascii="Arial" w:hAnsi="Arial" w:cs="Arial"/>
            </w:rPr>
            <w:instrText xml:space="preserve"> CREATEDATE   \* MERGEFORMAT </w:instrText>
          </w:r>
          <w:r>
            <w:rPr>
              <w:rFonts w:ascii="Arial" w:hAnsi="Arial" w:cs="Arial"/>
            </w:rPr>
            <w:fldChar w:fldCharType="separate"/>
          </w:r>
          <w:r>
            <w:rPr>
              <w:rFonts w:ascii="Arial" w:hAnsi="Arial" w:cs="Arial"/>
              <w:noProof/>
            </w:rPr>
            <w:fldChar w:fldCharType="begin"/>
          </w:r>
          <w:r>
            <w:rPr>
              <w:rFonts w:ascii="Arial" w:hAnsi="Arial" w:cs="Arial"/>
              <w:noProof/>
            </w:rPr>
            <w:instrText xml:space="preserve"> CREATEDATE  \@ "yyyy-MM-dd"  \* MERGEFORMAT </w:instrText>
          </w:r>
          <w:r>
            <w:rPr>
              <w:rFonts w:ascii="Arial" w:hAnsi="Arial" w:cs="Arial"/>
              <w:noProof/>
            </w:rPr>
            <w:fldChar w:fldCharType="separate"/>
          </w:r>
          <w:r>
            <w:rPr>
              <w:rFonts w:ascii="Arial" w:hAnsi="Arial" w:cs="Arial"/>
              <w:noProof/>
            </w:rPr>
            <w:t>2021-02-23</w:t>
          </w:r>
          <w:r>
            <w:rPr>
              <w:rFonts w:ascii="Arial" w:hAnsi="Arial" w:cs="Arial"/>
              <w:noProof/>
            </w:rPr>
            <w:fldChar w:fldCharType="end"/>
          </w:r>
          <w:r>
            <w:rPr>
              <w:rFonts w:ascii="Arial" w:hAnsi="Arial" w:cs="Arial"/>
              <w:noProof/>
            </w:rPr>
            <w:t xml:space="preserve"> </w:t>
          </w:r>
          <w:r>
            <w:rPr>
              <w:rFonts w:ascii="Arial" w:hAnsi="Arial" w:cs="Arial"/>
            </w:rPr>
            <w:fldChar w:fldCharType="end"/>
          </w:r>
        </w:p>
      </w:tc>
    </w:tr>
  </w:tbl>
  <w:p w:rsidR="00A4116C" w:rsidRPr="00ED4363" w:rsidRDefault="005C34BE" w:rsidP="000A723F">
    <w:pPr>
      <w:pStyle w:val="Sidfo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5C34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8E8" w:rsidRDefault="00CA18E8" w:rsidP="00FD14E4">
      <w:pPr>
        <w:spacing w:after="0" w:line="240" w:lineRule="auto"/>
      </w:pPr>
      <w:r>
        <w:separator/>
      </w:r>
    </w:p>
  </w:footnote>
  <w:footnote w:type="continuationSeparator" w:id="0">
    <w:p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5C34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5C34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5C3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84DBF"/>
    <w:rsid w:val="000C278E"/>
    <w:rsid w:val="001233CD"/>
    <w:rsid w:val="00127D82"/>
    <w:rsid w:val="0016399A"/>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6ADD"/>
    <w:rsid w:val="004850B1"/>
    <w:rsid w:val="004A08E3"/>
    <w:rsid w:val="00503904"/>
    <w:rsid w:val="00514099"/>
    <w:rsid w:val="0057086E"/>
    <w:rsid w:val="005A4EDC"/>
    <w:rsid w:val="005C34BE"/>
    <w:rsid w:val="005E7669"/>
    <w:rsid w:val="00623030"/>
    <w:rsid w:val="00656BC9"/>
    <w:rsid w:val="006B74B7"/>
    <w:rsid w:val="00751C70"/>
    <w:rsid w:val="007A46F9"/>
    <w:rsid w:val="007A6F6A"/>
    <w:rsid w:val="007C438A"/>
    <w:rsid w:val="007D03BE"/>
    <w:rsid w:val="007F0C07"/>
    <w:rsid w:val="00803EA2"/>
    <w:rsid w:val="008277D0"/>
    <w:rsid w:val="008314F8"/>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1624B"/>
    <w:rsid w:val="00B35DF2"/>
    <w:rsid w:val="00B50452"/>
    <w:rsid w:val="00B7025F"/>
    <w:rsid w:val="00BE272B"/>
    <w:rsid w:val="00C23D5C"/>
    <w:rsid w:val="00C91C90"/>
    <w:rsid w:val="00CA18E8"/>
    <w:rsid w:val="00CA1E51"/>
    <w:rsid w:val="00CB0C4B"/>
    <w:rsid w:val="00CB7232"/>
    <w:rsid w:val="00D33F10"/>
    <w:rsid w:val="00D81E48"/>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4EE30"/>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4DFD-B182-4E92-9957-FF3DBA2B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2628</Words>
  <Characters>13931</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mars 2021 Bolag</dc:title>
  <dc:subject/>
  <dc:creator>Stratsys</dc:creator>
  <cp:keywords/>
  <dc:description/>
  <cp:lastModifiedBy>Anne-Beate Silverfjäll</cp:lastModifiedBy>
  <cp:revision>3</cp:revision>
  <dcterms:created xsi:type="dcterms:W3CDTF">2021-04-14T14:38:00Z</dcterms:created>
  <dcterms:modified xsi:type="dcterms:W3CDTF">2021-04-14T14:41:00Z</dcterms:modified>
</cp:coreProperties>
</file>