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F574F6">
        <w:t>9</w:t>
      </w:r>
      <w:r>
        <w:t xml:space="preserve"> gällande </w:t>
      </w:r>
      <w:r w:rsidR="007A56EA">
        <w:t xml:space="preserve">Säkringseffektivitet </w:t>
      </w:r>
      <w:r w:rsidR="00F574F6">
        <w:t>per balansdag 2019-12-31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>kan s</w:t>
      </w:r>
      <w:bookmarkStart w:id="0" w:name="_GoBack"/>
      <w:bookmarkEnd w:id="0"/>
      <w:r>
        <w:t xml:space="preserve">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994896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3E3FA73B" wp14:editId="1E17028C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F574F6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F574F6">
            <w:t>9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9489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9489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4D0601" w:rsidP="001E15AF">
          <w:pPr>
            <w:pStyle w:val="Sidhuvud"/>
          </w:pPr>
          <w:bookmarkStart w:id="6" w:name="dnr"/>
          <w:bookmarkEnd w:id="6"/>
          <w:r>
            <w:t>28-2020-0004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94896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41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18</cp:revision>
  <cp:lastPrinted>2018-03-06T09:06:00Z</cp:lastPrinted>
  <dcterms:created xsi:type="dcterms:W3CDTF">2016-02-02T06:39:00Z</dcterms:created>
  <dcterms:modified xsi:type="dcterms:W3CDTF">2020-03-19T12:42:00Z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