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FC62" w14:textId="3D803BA7" w:rsidR="006F01E0" w:rsidRDefault="00BF6CE5" w:rsidP="00BF6CE5">
      <w:pPr>
        <w:pBdr>
          <w:top w:val="nil"/>
          <w:left w:val="nil"/>
          <w:bottom w:val="nil"/>
          <w:right w:val="nil"/>
          <w:between w:val="nil"/>
        </w:pBdr>
        <w:tabs>
          <w:tab w:val="center" w:pos="4513"/>
          <w:tab w:val="right" w:pos="9026"/>
        </w:tabs>
        <w:spacing w:after="0" w:line="240" w:lineRule="auto"/>
        <w:rPr>
          <w:rFonts w:ascii="Arial" w:eastAsia="Arial" w:hAnsi="Arial" w:cs="Arial"/>
          <w:b/>
          <w:bCs/>
          <w:sz w:val="26"/>
          <w:szCs w:val="26"/>
        </w:rPr>
      </w:pPr>
      <w:r>
        <w:rPr>
          <w:rFonts w:ascii="Arial" w:eastAsia="Arial" w:hAnsi="Arial" w:cs="Arial"/>
          <w:b/>
          <w:bCs/>
          <w:color w:val="000000"/>
          <w:sz w:val="26"/>
          <w:szCs w:val="26"/>
        </w:rPr>
        <w:br/>
      </w:r>
      <w:r w:rsidRPr="00BF6CE5">
        <w:rPr>
          <w:rFonts w:ascii="Arial" w:eastAsia="Arial" w:hAnsi="Arial" w:cs="Arial"/>
          <w:b/>
          <w:bCs/>
          <w:color w:val="000000"/>
          <w:sz w:val="26"/>
          <w:szCs w:val="26"/>
        </w:rPr>
        <w:t>Yoldaki sözcükler</w:t>
      </w:r>
      <w:r>
        <w:rPr>
          <w:rFonts w:ascii="Arial" w:eastAsia="Arial" w:hAnsi="Arial" w:cs="Arial"/>
          <w:b/>
          <w:bCs/>
          <w:color w:val="000000"/>
          <w:sz w:val="26"/>
          <w:szCs w:val="26"/>
        </w:rPr>
        <w:t xml:space="preserve">: </w:t>
      </w:r>
      <w:r>
        <w:rPr>
          <w:rFonts w:ascii="Arial" w:eastAsia="Arial" w:hAnsi="Arial" w:cs="Arial"/>
          <w:b/>
          <w:bCs/>
          <w:sz w:val="26"/>
          <w:szCs w:val="26"/>
        </w:rPr>
        <w:t>Farklı sosyoekonomik bölgelerdeki çocuklar ve öğrencilerde dilsel karmaşıklık, yeniden anlatma becerisi ve kelime dağarcığı üzerine bir çalışma</w:t>
      </w:r>
    </w:p>
    <w:p w14:paraId="68B91357" w14:textId="77777777" w:rsidR="006F01E0" w:rsidRDefault="006F01E0">
      <w:pPr>
        <w:pBdr>
          <w:top w:val="nil"/>
          <w:left w:val="nil"/>
          <w:bottom w:val="nil"/>
          <w:right w:val="nil"/>
          <w:between w:val="nil"/>
        </w:pBdr>
        <w:tabs>
          <w:tab w:val="center" w:pos="4513"/>
          <w:tab w:val="right" w:pos="9026"/>
        </w:tabs>
        <w:spacing w:after="0" w:line="240" w:lineRule="auto"/>
        <w:rPr>
          <w:rFonts w:ascii="Arial" w:eastAsia="Arial" w:hAnsi="Arial" w:cs="Arial"/>
          <w:b/>
          <w:bCs/>
          <w:sz w:val="26"/>
          <w:szCs w:val="26"/>
        </w:rPr>
      </w:pPr>
    </w:p>
    <w:p w14:paraId="1F27E559" w14:textId="77777777" w:rsidR="006F01E0" w:rsidRDefault="00BF6CE5">
      <w:pPr>
        <w:spacing w:before="240" w:after="240"/>
        <w:rPr>
          <w:b/>
          <w:bCs/>
        </w:rPr>
      </w:pPr>
      <w:r>
        <w:rPr>
          <w:b/>
          <w:bCs/>
        </w:rPr>
        <w:t xml:space="preserve">Çocuklar ve öğrencilerde dil üzerine yapılan araştırma hakkında velilere bilgilendirme </w:t>
      </w:r>
    </w:p>
    <w:p w14:paraId="16552922" w14:textId="058DAEAC" w:rsidR="006F01E0" w:rsidRDefault="00BF6CE5" w:rsidP="00BF6CE5">
      <w:pPr>
        <w:spacing w:before="240" w:after="240"/>
      </w:pPr>
      <w:r>
        <w:t>Çocuğunuzun bir araştırma çalışmasına katılmasını isteyip istemediğinizi sormak istiyoruz. Bu mektupta çalışma hakkında ve çocuğunuzun katılımının ne anlama geldiği konusunda bilgi bulacaksınız.</w:t>
      </w:r>
    </w:p>
    <w:p w14:paraId="5C17B89E" w14:textId="77777777" w:rsidR="006F01E0" w:rsidRDefault="00BF6CE5">
      <w:pPr>
        <w:spacing w:before="240" w:after="240"/>
        <w:rPr>
          <w:b/>
          <w:bCs/>
        </w:rPr>
      </w:pPr>
      <w:r>
        <w:rPr>
          <w:b/>
          <w:bCs/>
        </w:rPr>
        <w:t>Araştırma çalışması hakkında bilgi</w:t>
      </w:r>
    </w:p>
    <w:p w14:paraId="1512793E" w14:textId="77777777" w:rsidR="006F01E0" w:rsidRDefault="00BF6CE5">
      <w:pPr>
        <w:spacing w:before="240" w:after="240"/>
      </w:pPr>
      <w:r>
        <w:t>Bu çalışmanın arka planı, Göteborg Belediyesi’nin çocukların ve öğrencilerin dil gelişimine yönelik çalışmaların şehirdeki farklı bölgelerde mevcut ihtiyaçlara göre nasıl geliştirilebileceği ve uyarlanabileceği konusunda bilgi edinmek istemesidir. Araştırma çalışması 2026–2027 yılları arasında yürütülecektir ve amacı, farklı sosyoekonomik ve coğrafi bölgelerde çocukların dil anlama becerisi, yeniden anlatma yeteneği ve kelime dağarcığı hakkında yeni bilgiler sunmaktır. Sosyoekonomi, yaşam koşullarındaki farklılıkları ifade eder. Elde edilen sonuçlar, öğretimin kalitesini geliştirmek ve tüm çocukların zengin ve nüanslı bir dil geliştirme olanaklarını desteklemek amacıyla kullanılacaktır.</w:t>
      </w:r>
    </w:p>
    <w:p w14:paraId="2A85E4D5" w14:textId="2772AB8B" w:rsidR="006F01E0" w:rsidRDefault="00BF6CE5" w:rsidP="00BF6CE5">
      <w:pPr>
        <w:spacing w:before="240" w:after="240"/>
      </w:pPr>
      <w:r>
        <w:t>Araştırma çalışması, Göteborg Belediyesi’ne bağlı anaokulu ve ilkokullarda öğrenim gören çocuklar ve öğrencileri kapsamaktadır. Çalışmanın yürütücüsü, Göteborg Belediyesi Anaokulu Müdürlüğü ve İlkokul Müdürlüğü ile Göteborg Üniversitesi’dir. Araştırma yürütücüsü, araştırma çalışmasından sorumlu olan kuruluş/kuruluşlar anlamına gelmektedir.</w:t>
      </w:r>
    </w:p>
    <w:p w14:paraId="2718EB7A" w14:textId="77777777" w:rsidR="00BF6CE5" w:rsidRPr="00BF6CE5" w:rsidRDefault="00BF6CE5" w:rsidP="00BF6CE5">
      <w:pPr>
        <w:spacing w:before="240" w:after="240"/>
      </w:pPr>
    </w:p>
    <w:p w14:paraId="6DA87626" w14:textId="77777777" w:rsidR="006F01E0" w:rsidRDefault="00BF6CE5">
      <w:pPr>
        <w:spacing w:before="240" w:after="240"/>
        <w:rPr>
          <w:b/>
          <w:bCs/>
        </w:rPr>
      </w:pPr>
      <w:r>
        <w:rPr>
          <w:b/>
          <w:bCs/>
        </w:rPr>
        <w:t>Çocuğunuzun katılımı neden soruluyor?</w:t>
      </w:r>
    </w:p>
    <w:p w14:paraId="72C9930A" w14:textId="77777777" w:rsidR="006F01E0" w:rsidRDefault="00BF6CE5">
      <w:pPr>
        <w:spacing w:before="240" w:after="240"/>
      </w:pPr>
      <w:r>
        <w:t>Bu soru size, çocuğunuzun anaokulu veya ilkokulunun araştırmaya katılmak üzere seçilmiş olmasından dolayı sorulmaktadır. Araştırmaya dahil edilecek anaokulları ve okullar, şehirdeki farklı bölgelerin temsil edilmesini sağlamak amacıyla rastgele seçilmiştir. Çalışma, 2026 yılı içinde 5 ve 7 yaşını dolduracak çocukları kapsamaktadır. Seçim için temel oluşturulan bilgiler, İstatistik Merkezi ile Anaokulu Müdürlüğü ve İlkokul Müdürlüğü’nün korumalı veri depolarından alınmıştır.</w:t>
      </w:r>
    </w:p>
    <w:p w14:paraId="3A1AD933" w14:textId="77777777" w:rsidR="006F01E0" w:rsidRDefault="006F01E0">
      <w:pPr>
        <w:spacing w:before="240" w:after="240"/>
      </w:pPr>
    </w:p>
    <w:p w14:paraId="330B4907" w14:textId="77777777" w:rsidR="006F01E0" w:rsidRDefault="00BF6CE5">
      <w:pPr>
        <w:spacing w:before="240" w:after="240"/>
        <w:rPr>
          <w:b/>
          <w:bCs/>
        </w:rPr>
      </w:pPr>
      <w:r>
        <w:rPr>
          <w:b/>
          <w:bCs/>
        </w:rPr>
        <w:t>Araştırma nasıl yürütülüyor?</w:t>
      </w:r>
    </w:p>
    <w:p w14:paraId="52FD60AB" w14:textId="77777777" w:rsidR="006F01E0" w:rsidRDefault="00BF6CE5">
      <w:pPr>
        <w:spacing w:before="240" w:after="240"/>
      </w:pPr>
      <w:r>
        <w:t xml:space="preserve">Çocukların yaş grubuna uygun bir dil değerlendirmesi yapılacaktır. Değerlendirme, Anaokulu Müdürlüğü veya İlkokul Müdürlüğü’nde çalışan bir kişi tarafından gerçekleştirilecektir. Bu kişi, çocuğa resimli kısa bir hikâye anlatacaktır. Ardından çocuk, hikâyeyi resimlerden destek alarak </w:t>
      </w:r>
      <w:r>
        <w:lastRenderedPageBreak/>
        <w:t>kendi cümleleriyle yeniden anlatacaktır. Çocuk, anaokulu veya okulunda yalnızca bir kez bu etkinliğe katılacak ve görüşme yaklaşık 15 dakika sürecektir. Çocuğun yeniden anlatımı ses kaydı ile kayıt altına alınacaktır.</w:t>
      </w:r>
    </w:p>
    <w:p w14:paraId="5D7252C4" w14:textId="77777777" w:rsidR="006F01E0" w:rsidRDefault="00BF6CE5">
      <w:pPr>
        <w:spacing w:before="240" w:after="240"/>
      </w:pPr>
      <w:r>
        <w:t>Çocukla görüşen kişi, çocukların erken dil gelişimi hakkında bilgiye sahip, çocuklarla çalışma konusunda deneyimli ve güvenli bir ortam yaratabilme becerisine sahiptir.</w:t>
      </w:r>
    </w:p>
    <w:p w14:paraId="05DE1075" w14:textId="77777777" w:rsidR="006F01E0" w:rsidRDefault="006F01E0">
      <w:pPr>
        <w:spacing w:before="240"/>
      </w:pPr>
    </w:p>
    <w:p w14:paraId="332A1785" w14:textId="77777777" w:rsidR="006F01E0" w:rsidRDefault="00BF6CE5">
      <w:pPr>
        <w:spacing w:before="240" w:after="240"/>
        <w:rPr>
          <w:b/>
          <w:bCs/>
        </w:rPr>
      </w:pPr>
      <w:r>
        <w:rPr>
          <w:b/>
          <w:bCs/>
        </w:rPr>
        <w:t>Çalışmaya katılım</w:t>
      </w:r>
    </w:p>
    <w:p w14:paraId="70D519F0" w14:textId="77777777" w:rsidR="006F01E0" w:rsidRDefault="00BF6CE5">
      <w:pPr>
        <w:spacing w:before="240" w:after="240"/>
      </w:pPr>
      <w:r>
        <w:t>Çalışmaya katılım, çocuğunuz için herhangi bir risk taşımamaktadır. Çocuğunuzla görüşecek kişi, araştırma amacıyla çocuklarla çalışma konusunda eğitimlidir ve çocuğunuza katılmak isteyip istemediğini soracaktır. Katılım gönüllülük esasına dayanmaktadır; çocuk katılmak istemezse katılmak zorunda değildir.</w:t>
      </w:r>
    </w:p>
    <w:p w14:paraId="3A50F71C" w14:textId="77777777" w:rsidR="006F01E0" w:rsidRDefault="00BF6CE5">
      <w:pPr>
        <w:spacing w:before="240" w:after="240"/>
      </w:pPr>
      <w:r>
        <w:t>Çocukla görüşen kişi, çocuğun beden dili, yüz ifadesi veya başka şekillerde katılmak istemediğini gösterip göstermediğine dikkat edecektir.</w:t>
      </w:r>
    </w:p>
    <w:p w14:paraId="4F24CECE" w14:textId="77777777" w:rsidR="006F01E0" w:rsidRDefault="006F01E0">
      <w:pPr>
        <w:spacing w:before="240" w:after="100"/>
      </w:pPr>
    </w:p>
    <w:p w14:paraId="521E8250" w14:textId="77777777" w:rsidR="006F01E0" w:rsidRDefault="00BF6CE5">
      <w:pPr>
        <w:spacing w:before="240" w:after="240"/>
        <w:rPr>
          <w:b/>
          <w:bCs/>
        </w:rPr>
      </w:pPr>
      <w:r>
        <w:rPr>
          <w:b/>
          <w:bCs/>
        </w:rPr>
        <w:t>Katılım gönüllülük esasına dayanmaktadır</w:t>
      </w:r>
    </w:p>
    <w:p w14:paraId="777A09DB" w14:textId="77777777" w:rsidR="006F01E0" w:rsidRDefault="00BF6CE5">
      <w:pPr>
        <w:spacing w:before="240" w:after="240"/>
      </w:pPr>
      <w:r>
        <w:t>Çocuğunuzun araştırmaya katılıp katılmayacağına siz karar verirsiniz. Katılım için velinin yazılı onayı (aydınlatılmış onam) gerekmektedir. Çocuğun iki velisi bulunuyorsa, her iki velinin de katılım için onay vermesi zorunludur. İmzalanmış onam formu, ekte yer alan cevap zarfı ile gönderilmelidir.</w:t>
      </w:r>
    </w:p>
    <w:p w14:paraId="1FD90BC0" w14:textId="77777777" w:rsidR="006F01E0" w:rsidRDefault="00BF6CE5">
      <w:pPr>
        <w:spacing w:before="240" w:after="240"/>
      </w:pPr>
      <w:r>
        <w:t xml:space="preserve">Onamınızı dilediğiniz zaman geri çekebilirsiniz. Çocuğunuzun katılmasına izin vermemeyi ya da katılımını sonlandırmayı tercih ederseniz, bunun gerekçesini belirtmek zorunda değilsiniz. Katılımı sonlandırmak istemeniz halinde, sorumlu araştırmacı Agneta Pihl ile </w:t>
      </w:r>
      <w:hyperlink r:id="rId7">
        <w:r>
          <w:rPr>
            <w:color w:val="1155CC"/>
            <w:u w:val="single"/>
          </w:rPr>
          <w:t>agneta.pihl@forskola.goteborg.se</w:t>
        </w:r>
      </w:hyperlink>
      <w:r>
        <w:t xml:space="preserve"> adresi üzerinden iletişime geçebilirsiniz.</w:t>
      </w:r>
    </w:p>
    <w:p w14:paraId="64A47B85" w14:textId="77777777" w:rsidR="006F01E0" w:rsidRDefault="00BF6CE5">
      <w:pPr>
        <w:spacing w:before="240" w:after="240"/>
      </w:pPr>
      <w:r>
        <w:t>Sorularınız için Agneta Pihl ile iletişime geçebilirsiniz. Tercüman ihtiyacı olması durumunda, çocuğunuzun anaokulu veya okulu ile iletişime geçiniz.</w:t>
      </w:r>
    </w:p>
    <w:p w14:paraId="1523950E" w14:textId="77777777" w:rsidR="006F01E0" w:rsidRDefault="00BF6CE5">
      <w:pPr>
        <w:spacing w:before="200" w:after="100"/>
        <w:rPr>
          <w:b/>
          <w:bCs/>
        </w:rPr>
      </w:pPr>
      <w:r>
        <w:rPr>
          <w:color w:val="000000"/>
        </w:rPr>
        <w:br/>
      </w:r>
      <w:r>
        <w:rPr>
          <w:b/>
          <w:bCs/>
        </w:rPr>
        <w:t>Toplanan verilerle ne yapılacak?</w:t>
      </w:r>
    </w:p>
    <w:p w14:paraId="1119F79B" w14:textId="77777777" w:rsidR="006F01E0" w:rsidRDefault="00BF6CE5">
      <w:pPr>
        <w:spacing w:before="240" w:after="240"/>
      </w:pPr>
      <w:r>
        <w:t>Bu çalışmada çocuğunuzun bir hikâyeyi yeniden anlatımı toplanacaktır (ses kaydı ve yazılı döküm olarak). Toplanacak kişisel veriler şunlardır: çocuğun ve velinin adı, çocuğun kaydedilen sesi ile araştırmaya yönelik iki ek sorudan oluşan gönüllü arka plan bilgileri. Bu sorulardan biri çocuğun cinsiyeti, diğeri ise çocuğun birden fazla dil konuşup konuşmadığı ile ilgilidir. Bu bilgiler, onam formu ile birlikte aynı cevap zarfı içinde gönderilecektir.</w:t>
      </w:r>
    </w:p>
    <w:p w14:paraId="2C3CADA8" w14:textId="77777777" w:rsidR="006F01E0" w:rsidRDefault="00BF6CE5">
      <w:pPr>
        <w:spacing w:before="240" w:after="240"/>
      </w:pPr>
      <w:r>
        <w:t>Göteborg Belediyesi Anaokulu Müdürlüğü, araştırmanın başlıca sorumlu kurumudur ve tüm araştırma verilerini saklayacaktır. Bu durum, ilkokula devam eden katılımcı çocuklardan elde edilen veriler için de geçerlidir. Veriler güvenli bir şekilde muhafaza edilecek ve yetkisiz kişilerin erişimini engellemek amacıyla büyük bir özenle işlenecektir. Verilere yalnızca araştırmacılar erişebilecektir.</w:t>
      </w:r>
    </w:p>
    <w:p w14:paraId="2EDED049" w14:textId="77777777" w:rsidR="006F01E0" w:rsidRDefault="00BF6CE5">
      <w:pPr>
        <w:spacing w:before="240" w:after="240"/>
      </w:pPr>
      <w:r>
        <w:lastRenderedPageBreak/>
        <w:t>Toplanan veriler kimliksizleştirilecek (anonimleştirilecek) ve çocuğunuzun kimliğiyle ya da çocuğunuzun anaokulu veya okulu ile ilişkilendirilemeyecektir. Veriler yalnızca araştırma kapsamında kullanılacak ve sonuçlar grup düzeyinde, yani farklı bölgelere ilişkin sonuçlar şeklinde sunulacaktır.</w:t>
      </w:r>
    </w:p>
    <w:p w14:paraId="34E95A96" w14:textId="77777777" w:rsidR="006F01E0" w:rsidRDefault="00BF6CE5">
      <w:pPr>
        <w:spacing w:before="240" w:after="240"/>
      </w:pPr>
      <w:r>
        <w:t>Kişisel verilerin işlenmesinde Avrupa Birliği Genel Veri Koruma Tüzüğü (GDPR) ve yürürlükteki diğer ilgili mevzuata uyulmaktadır. Kişisel verilerin işlenmesinin hukuki dayanağı, işlemenin kamu yararına bir görevin yerine getirilmesi için gerekli olmasıdır (GDPR madde 6.1 e).</w:t>
      </w:r>
    </w:p>
    <w:p w14:paraId="2A39A8C8" w14:textId="020E5F98" w:rsidR="006F01E0" w:rsidRDefault="00BF6CE5" w:rsidP="00BF6CE5">
      <w:pPr>
        <w:spacing w:before="240" w:after="240"/>
      </w:pPr>
      <w:r>
        <w:t>Çalışma kapsamındaki veriler, araştırma süresi boyunca işlenecektir. Çocuğa ait veriler daha sonra on yıl süreyle saklanacak ve ardından silinecektir. Aynı durum, velinin verdiği katılım onayı veya geri çekilen onay için de geçerlidir.</w:t>
      </w:r>
    </w:p>
    <w:p w14:paraId="010CD002" w14:textId="77777777" w:rsidR="006F01E0" w:rsidRDefault="00BF6CE5">
      <w:pPr>
        <w:spacing w:before="240" w:after="240"/>
        <w:rPr>
          <w:b/>
          <w:bCs/>
        </w:rPr>
      </w:pPr>
      <w:r>
        <w:rPr>
          <w:b/>
          <w:bCs/>
        </w:rPr>
        <w:t>Sigorta</w:t>
      </w:r>
    </w:p>
    <w:p w14:paraId="577AF4E5" w14:textId="7C760D80" w:rsidR="006F01E0" w:rsidRPr="00BF6CE5" w:rsidRDefault="00BF6CE5" w:rsidP="00BF6CE5">
      <w:pPr>
        <w:spacing w:before="240" w:after="240"/>
      </w:pPr>
      <w:r>
        <w:t>Araştırma çalışmasına katılan tüm çocuklar, belediyeye bağlı anaokulu ve ilkokullarda çocuklar için geçerli olan sigorta güvencesi kapsamında sigortalanmıştır.</w:t>
      </w:r>
    </w:p>
    <w:p w14:paraId="2311E729" w14:textId="77777777" w:rsidR="006F01E0" w:rsidRDefault="00BF6CE5">
      <w:pPr>
        <w:spacing w:before="240" w:after="240"/>
        <w:rPr>
          <w:b/>
          <w:bCs/>
        </w:rPr>
      </w:pPr>
      <w:r>
        <w:rPr>
          <w:b/>
          <w:bCs/>
        </w:rPr>
        <w:t>Kişisel veriler</w:t>
      </w:r>
    </w:p>
    <w:p w14:paraId="00DDCDF0" w14:textId="77777777" w:rsidR="006F01E0" w:rsidRDefault="00BF6CE5">
      <w:pPr>
        <w:spacing w:before="240" w:after="240"/>
      </w:pPr>
      <w:r>
        <w:t>Kişisel verilerle ilgili sorumluluk, araştırmanın sorumlu kurumları arasında paylaştırılmıştır. GDPR uyarınca, araştırma kapsamında çocuğunuza ait işlenen verilere ücretsiz olarak erişme ve gerektiğinde hatalı bilgilerin düzeltilmesini talep etme hakkına sahipsiniz. Ayrıca çocuğunuza ait verilerin silinmesini ve kişisel verilerinin işlenmesinin sınırlandırılmasını talep edebilirsiniz.</w:t>
      </w:r>
    </w:p>
    <w:p w14:paraId="583232F3" w14:textId="77777777" w:rsidR="006F01E0" w:rsidRDefault="00BF6CE5">
      <w:pPr>
        <w:spacing w:before="240" w:after="240"/>
      </w:pPr>
      <w:r>
        <w:t xml:space="preserve">Sizin ve çocuğunuzun kişisel verilerinin nasıl işlendiğine ilişkin sorularınız olması durumunda, </w:t>
      </w:r>
      <w:hyperlink r:id="rId8">
        <w:r>
          <w:rPr>
            <w:color w:val="1155CC"/>
            <w:u w:val="single"/>
          </w:rPr>
          <w:t>informationssakerhet@grundskola.goteborg.se</w:t>
        </w:r>
      </w:hyperlink>
      <w:r>
        <w:t xml:space="preserve"> adresiyle ve Göteborg Belediyesi Veri Koruma Görevlisi ile </w:t>
      </w:r>
      <w:hyperlink r:id="rId9">
        <w:r>
          <w:rPr>
            <w:color w:val="1155CC"/>
            <w:u w:val="single"/>
          </w:rPr>
          <w:t>dso@intraservice.goteborg.se</w:t>
        </w:r>
      </w:hyperlink>
      <w:r>
        <w:t xml:space="preserve"> adresi üzerinden iletişime geçebilirsiniz.</w:t>
      </w:r>
    </w:p>
    <w:p w14:paraId="18D9680D" w14:textId="77777777" w:rsidR="006F01E0" w:rsidRDefault="00BF6CE5">
      <w:pPr>
        <w:spacing w:before="240" w:after="240"/>
      </w:pPr>
      <w:r>
        <w:t xml:space="preserve">Kişisel verilerinizin işlenme biçiminden memnun olmamanız halinde, Integritet Koruma Kurumu’na (IMY) </w:t>
      </w:r>
      <w:hyperlink r:id="rId10">
        <w:r>
          <w:rPr>
            <w:color w:val="1155CC"/>
            <w:u w:val="single"/>
          </w:rPr>
          <w:t>imy@imy.se</w:t>
        </w:r>
      </w:hyperlink>
      <w:r>
        <w:t xml:space="preserve"> adresi üzerinden şikâyette bulunma hakkına sahipsiniz.</w:t>
      </w:r>
    </w:p>
    <w:p w14:paraId="67797C82" w14:textId="77777777" w:rsidR="006F01E0" w:rsidRDefault="006F01E0">
      <w:pPr>
        <w:spacing w:before="240" w:after="100"/>
      </w:pPr>
    </w:p>
    <w:p w14:paraId="3AAA7380" w14:textId="77777777" w:rsidR="006F01E0" w:rsidRDefault="00BF6CE5">
      <w:pPr>
        <w:spacing w:before="240" w:after="240"/>
        <w:rPr>
          <w:b/>
          <w:bCs/>
        </w:rPr>
      </w:pPr>
      <w:r>
        <w:rPr>
          <w:b/>
          <w:bCs/>
        </w:rPr>
        <w:t>Araştırma çalışmasından sorumlu kişi</w:t>
      </w:r>
    </w:p>
    <w:p w14:paraId="381DBB09" w14:textId="77777777" w:rsidR="006F01E0" w:rsidRDefault="00BF6CE5">
      <w:pPr>
        <w:spacing w:before="240" w:after="240"/>
      </w:pPr>
      <w:r>
        <w:t>Agneta Pihl</w:t>
      </w:r>
    </w:p>
    <w:p w14:paraId="679D1153" w14:textId="77777777" w:rsidR="006F01E0" w:rsidRDefault="00BF6CE5">
      <w:pPr>
        <w:spacing w:before="240" w:after="240"/>
      </w:pPr>
      <w:r>
        <w:t>Doçent, Göteborg Belediyesi, Anaokulu Müdürlüğü</w:t>
      </w:r>
    </w:p>
    <w:p w14:paraId="0FAE7AD1" w14:textId="77777777" w:rsidR="006F01E0" w:rsidRDefault="00BF6CE5">
      <w:pPr>
        <w:spacing w:before="240" w:after="240"/>
      </w:pPr>
      <w:r>
        <w:t xml:space="preserve">E-posta adresi: </w:t>
      </w:r>
      <w:hyperlink r:id="rId11">
        <w:r>
          <w:rPr>
            <w:color w:val="1155CC"/>
            <w:u w:val="single"/>
          </w:rPr>
          <w:t>agneta.pihl@forskola.goteborg.se</w:t>
        </w:r>
      </w:hyperlink>
    </w:p>
    <w:p w14:paraId="33AA595A" w14:textId="77777777" w:rsidR="006F01E0" w:rsidRDefault="00BF6CE5">
      <w:pPr>
        <w:spacing w:before="240" w:after="240"/>
      </w:pPr>
      <w:r>
        <w:t>Telefon: 0769-489308</w:t>
      </w:r>
    </w:p>
    <w:p w14:paraId="293298BB" w14:textId="77777777" w:rsidR="006F01E0" w:rsidRDefault="00BF6CE5">
      <w:pPr>
        <w:spacing w:before="240" w:after="240" w:line="240" w:lineRule="auto"/>
      </w:pPr>
      <w:r>
        <w:t>Posta adresi: Göteborg Belediyesi, Anaokulu Müdürlüğü, Box 1116, 405 23 Göteborg</w:t>
      </w:r>
    </w:p>
    <w:p w14:paraId="1519F8E8" w14:textId="77777777" w:rsidR="006F01E0" w:rsidRDefault="00BF6CE5">
      <w:pPr>
        <w:spacing w:before="240" w:after="240" w:line="240" w:lineRule="auto"/>
      </w:pPr>
      <w:r>
        <w:t xml:space="preserve">Web sitesi: </w:t>
      </w:r>
      <w:hyperlink r:id="rId12">
        <w:r>
          <w:rPr>
            <w:color w:val="1155CC"/>
            <w:u w:val="single"/>
          </w:rPr>
          <w:t>www.goteborg.se</w:t>
        </w:r>
      </w:hyperlink>
    </w:p>
    <w:p w14:paraId="206E8DE3" w14:textId="77777777" w:rsidR="006F01E0" w:rsidRDefault="006F01E0">
      <w:pPr>
        <w:spacing w:before="240" w:after="100"/>
        <w:rPr>
          <w:rFonts w:ascii="Arial" w:eastAsia="Arial" w:hAnsi="Arial" w:cs="Arial"/>
          <w:b/>
          <w:bCs/>
          <w:sz w:val="20"/>
          <w:szCs w:val="20"/>
        </w:rPr>
      </w:pPr>
    </w:p>
    <w:sectPr w:rsidR="006F01E0">
      <w:headerReference w:type="default" r:id="rId13"/>
      <w:footerReference w:type="even" r:id="rId14"/>
      <w:footerReference w:type="default" r:id="rId15"/>
      <w:headerReference w:type="first" r:id="rId16"/>
      <w:footerReference w:type="first" r:id="rId17"/>
      <w:pgSz w:w="11906" w:h="16838"/>
      <w:pgMar w:top="1276" w:right="1841" w:bottom="1135" w:left="1418" w:header="737"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8B962" w14:textId="77777777" w:rsidR="00D85C39" w:rsidRDefault="00D85C39">
      <w:pPr>
        <w:spacing w:after="0" w:line="240" w:lineRule="auto"/>
      </w:pPr>
      <w:r>
        <w:separator/>
      </w:r>
    </w:p>
  </w:endnote>
  <w:endnote w:type="continuationSeparator" w:id="0">
    <w:p w14:paraId="21C61892" w14:textId="77777777" w:rsidR="00D85C39" w:rsidRDefault="00D85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1" w:fontKey="{E6241EF2-CA64-42AB-961E-181AECBDA6E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86241" w14:textId="77777777" w:rsidR="006F01E0" w:rsidRDefault="006F01E0">
    <w:pPr>
      <w:widowControl w:val="0"/>
      <w:pBdr>
        <w:top w:val="nil"/>
        <w:left w:val="nil"/>
        <w:bottom w:val="nil"/>
        <w:right w:val="nil"/>
        <w:between w:val="nil"/>
      </w:pBdr>
      <w:spacing w:after="0"/>
      <w:rPr>
        <w:rFonts w:ascii="Arial" w:eastAsia="Arial" w:hAnsi="Arial" w:cs="Arial"/>
        <w:color w:val="000000"/>
      </w:rPr>
    </w:pPr>
  </w:p>
  <w:tbl>
    <w:tblPr>
      <w:tblStyle w:val="a1"/>
      <w:tblpPr w:leftFromText="142" w:rightFromText="142" w:vertAnchor="text" w:tblpX="1419" w:tblpY="15537"/>
      <w:tblW w:w="9072" w:type="dxa"/>
      <w:tblInd w:w="0" w:type="dxa"/>
      <w:tblBorders>
        <w:top w:val="single" w:sz="4" w:space="0" w:color="4D4D4D"/>
        <w:left w:val="nil"/>
        <w:bottom w:val="nil"/>
        <w:right w:val="nil"/>
        <w:insideH w:val="nil"/>
        <w:insideV w:val="nil"/>
      </w:tblBorders>
      <w:tblLayout w:type="fixed"/>
      <w:tblLook w:val="0420" w:firstRow="1" w:lastRow="0" w:firstColumn="0" w:lastColumn="0" w:noHBand="0" w:noVBand="1"/>
    </w:tblPr>
    <w:tblGrid>
      <w:gridCol w:w="5812"/>
      <w:gridCol w:w="1343"/>
      <w:gridCol w:w="1917"/>
    </w:tblGrid>
    <w:tr w:rsidR="006F01E0" w14:paraId="13805FE2" w14:textId="77777777" w:rsidTr="006F01E0">
      <w:trPr>
        <w:cnfStyle w:val="100000000000" w:firstRow="1" w:lastRow="0" w:firstColumn="0" w:lastColumn="0" w:oddVBand="0" w:evenVBand="0" w:oddHBand="0" w:evenHBand="0" w:firstRowFirstColumn="0" w:firstRowLastColumn="0" w:lastRowFirstColumn="0" w:lastRowLastColumn="0"/>
      </w:trPr>
      <w:tc>
        <w:tcPr>
          <w:tcW w:w="5812" w:type="dxa"/>
        </w:tcPr>
        <w:p w14:paraId="6B2E4216" w14:textId="77777777" w:rsidR="006F01E0" w:rsidRDefault="00BF6CE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b w:val="0"/>
              <w:bCs w:val="0"/>
              <w:color w:val="000000"/>
              <w:sz w:val="18"/>
              <w:szCs w:val="18"/>
            </w:rPr>
            <w:t>Göteborgs Stad      , Göteborgs universitet</w:t>
          </w:r>
        </w:p>
      </w:tc>
      <w:tc>
        <w:tcPr>
          <w:tcW w:w="1343" w:type="dxa"/>
        </w:tcPr>
        <w:p w14:paraId="68AA241A" w14:textId="77777777" w:rsidR="006F01E0" w:rsidRDefault="006F01E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p>
      </w:tc>
      <w:tc>
        <w:tcPr>
          <w:tcW w:w="1917" w:type="dxa"/>
        </w:tcPr>
        <w:p w14:paraId="6237D8AD" w14:textId="77777777" w:rsidR="006F01E0" w:rsidRDefault="00BF6CE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b w:val="0"/>
              <w:bCs w:val="0"/>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color w:val="000000"/>
              <w:sz w:val="18"/>
              <w:szCs w:val="18"/>
            </w:rPr>
            <w:fldChar w:fldCharType="end"/>
          </w:r>
          <w:r>
            <w:rPr>
              <w:rFonts w:ascii="Arial" w:eastAsia="Arial" w:hAnsi="Arial" w:cs="Arial"/>
              <w:b w:val="0"/>
              <w:bCs w:val="0"/>
              <w:color w:val="000000"/>
              <w:sz w:val="18"/>
              <w:szCs w:val="18"/>
            </w:rPr>
            <w:t xml:space="preserve"> (</w:t>
          </w:r>
          <w:r>
            <w:rPr>
              <w:rFonts w:ascii="Arial" w:eastAsia="Arial" w:hAnsi="Arial" w:cs="Arial"/>
              <w:color w:val="000000"/>
              <w:sz w:val="18"/>
              <w:szCs w:val="18"/>
            </w:rPr>
            <w:fldChar w:fldCharType="begin"/>
          </w:r>
          <w:r>
            <w:rPr>
              <w:rFonts w:ascii="Arial" w:eastAsia="Arial" w:hAnsi="Arial" w:cs="Arial"/>
              <w:b w:val="0"/>
              <w:bCs w:val="0"/>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color w:val="000000"/>
              <w:sz w:val="18"/>
              <w:szCs w:val="18"/>
            </w:rPr>
            <w:fldChar w:fldCharType="end"/>
          </w:r>
          <w:r>
            <w:rPr>
              <w:rFonts w:ascii="Arial" w:eastAsia="Arial" w:hAnsi="Arial" w:cs="Arial"/>
              <w:b w:val="0"/>
              <w:bCs w:val="0"/>
              <w:color w:val="000000"/>
              <w:sz w:val="18"/>
              <w:szCs w:val="18"/>
            </w:rPr>
            <w:t>)</w:t>
          </w:r>
        </w:p>
      </w:tc>
    </w:tr>
    <w:tr w:rsidR="006F01E0" w14:paraId="4B94FCDA" w14:textId="77777777" w:rsidTr="006F01E0">
      <w:tc>
        <w:tcPr>
          <w:tcW w:w="5812" w:type="dxa"/>
        </w:tcPr>
        <w:p w14:paraId="3EEB1E52" w14:textId="77777777" w:rsidR="006F01E0" w:rsidRDefault="006F01E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p>
      </w:tc>
      <w:tc>
        <w:tcPr>
          <w:tcW w:w="1343" w:type="dxa"/>
        </w:tcPr>
        <w:p w14:paraId="5CF6F2A0" w14:textId="77777777" w:rsidR="006F01E0" w:rsidRDefault="006F01E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p>
      </w:tc>
      <w:tc>
        <w:tcPr>
          <w:tcW w:w="1917" w:type="dxa"/>
        </w:tcPr>
        <w:p w14:paraId="08C6BEDE" w14:textId="77777777" w:rsidR="006F01E0" w:rsidRDefault="006F01E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p>
      </w:tc>
    </w:tr>
    <w:tr w:rsidR="006F01E0" w14:paraId="2A88598D" w14:textId="77777777" w:rsidTr="006F01E0">
      <w:tc>
        <w:tcPr>
          <w:tcW w:w="5812" w:type="dxa"/>
        </w:tcPr>
        <w:p w14:paraId="2DB5057F" w14:textId="77777777" w:rsidR="006F01E0" w:rsidRDefault="006F01E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p>
      </w:tc>
      <w:tc>
        <w:tcPr>
          <w:tcW w:w="1343" w:type="dxa"/>
        </w:tcPr>
        <w:p w14:paraId="14A0ABDC" w14:textId="77777777" w:rsidR="006F01E0" w:rsidRDefault="006F01E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p>
      </w:tc>
      <w:tc>
        <w:tcPr>
          <w:tcW w:w="1917" w:type="dxa"/>
        </w:tcPr>
        <w:p w14:paraId="72EDDEC6" w14:textId="77777777" w:rsidR="006F01E0" w:rsidRDefault="006F01E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p>
      </w:tc>
    </w:tr>
  </w:tbl>
  <w:p w14:paraId="4BE0475F" w14:textId="77777777" w:rsidR="006F01E0" w:rsidRDefault="006F01E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600" w:firstRow="0" w:lastRow="0" w:firstColumn="0" w:lastColumn="0" w:noHBand="1" w:noVBand="1"/>
      <w:tblCaption w:val="Sidfot med sidnumrering"/>
    </w:tblPr>
    <w:tblGrid>
      <w:gridCol w:w="7938"/>
      <w:gridCol w:w="1134"/>
    </w:tblGrid>
    <w:tr w:rsidR="00BF6CE5" w:rsidRPr="008117AD" w14:paraId="4F30BAE3" w14:textId="77777777" w:rsidTr="000663B7">
      <w:tc>
        <w:tcPr>
          <w:tcW w:w="7938" w:type="dxa"/>
        </w:tcPr>
        <w:p w14:paraId="24740C63" w14:textId="1BCFD68E" w:rsidR="00BF6CE5" w:rsidRDefault="00BF6CE5" w:rsidP="00BF6CE5">
          <w:pPr>
            <w:pStyle w:val="Sidfot"/>
          </w:pPr>
          <w:r>
            <w:t xml:space="preserve">Förskoleförvaltningen, Grundskoleförvaltningen, </w:t>
          </w:r>
          <w:sdt>
            <w:sdtPr>
              <w:alias w:val="Dokumentnamn"/>
              <w:tag w:val="Dokumentnamn"/>
              <w:id w:val="-103652890"/>
              <w:showingPlcHdr/>
              <w:dataBinding w:prefixMappings="xmlns:ns0='http://purl.org/dc/elements/1.1/' xmlns:ns1='http://schemas.openxmlformats.org/package/2006/metadata/core-properties' " w:xpath="/ns1:coreProperties[1]/ns0:title[1]" w:storeItemID="{6C3C8BC8-F283-45AE-878A-BAB7291924A1}"/>
              <w:text/>
            </w:sdtPr>
            <w:sdtContent>
              <w:r>
                <w:t xml:space="preserve">     </w:t>
              </w:r>
            </w:sdtContent>
          </w:sdt>
        </w:p>
      </w:tc>
      <w:tc>
        <w:tcPr>
          <w:tcW w:w="1134" w:type="dxa"/>
        </w:tcPr>
        <w:p w14:paraId="130C0537" w14:textId="77777777" w:rsidR="00BF6CE5" w:rsidRPr="008117AD" w:rsidRDefault="00BF6CE5" w:rsidP="00BF6CE5">
          <w:pPr>
            <w:pStyle w:val="Sidfot"/>
            <w:jc w:val="right"/>
            <w:rPr>
              <w:b/>
            </w:rPr>
          </w:pPr>
          <w:r w:rsidRPr="008117AD">
            <w:fldChar w:fldCharType="begin"/>
          </w:r>
          <w:r w:rsidRPr="008117AD">
            <w:instrText xml:space="preserve"> PAGE   \* MERGEFORMAT </w:instrText>
          </w:r>
          <w:r w:rsidRPr="008117AD">
            <w:fldChar w:fldCharType="separate"/>
          </w:r>
          <w:r>
            <w:t>1</w:t>
          </w:r>
          <w:r w:rsidRPr="008117AD">
            <w:fldChar w:fldCharType="end"/>
          </w:r>
          <w:r w:rsidRPr="008117AD">
            <w:t xml:space="preserve"> (</w:t>
          </w:r>
          <w:fldSimple w:instr="NUMPAGES   \* MERGEFORMAT">
            <w:r>
              <w:t>1</w:t>
            </w:r>
          </w:fldSimple>
          <w:r w:rsidRPr="008117AD">
            <w:t>)</w:t>
          </w:r>
        </w:p>
      </w:tc>
    </w:tr>
  </w:tbl>
  <w:p w14:paraId="1B7E813D" w14:textId="77777777" w:rsidR="00BF6CE5" w:rsidRDefault="00BF6CE5" w:rsidP="00BF6CE5">
    <w:pPr>
      <w:pStyle w:val="Sidfot"/>
    </w:pPr>
  </w:p>
  <w:p w14:paraId="37816157" w14:textId="77777777" w:rsidR="006F01E0" w:rsidRPr="00BF6CE5" w:rsidRDefault="006F01E0" w:rsidP="00BF6CE5">
    <w:pPr>
      <w:pStyle w:val="Sidfot"/>
      <w:rPr>
        <w:rFonts w:eastAsia="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600" w:firstRow="0" w:lastRow="0" w:firstColumn="0" w:lastColumn="0" w:noHBand="1" w:noVBand="1"/>
      <w:tblCaption w:val="Sidfot med sidnumrering"/>
    </w:tblPr>
    <w:tblGrid>
      <w:gridCol w:w="7938"/>
      <w:gridCol w:w="1134"/>
    </w:tblGrid>
    <w:tr w:rsidR="00BF6CE5" w:rsidRPr="008117AD" w14:paraId="27B52B2B" w14:textId="77777777" w:rsidTr="000663B7">
      <w:tc>
        <w:tcPr>
          <w:tcW w:w="7938" w:type="dxa"/>
        </w:tcPr>
        <w:p w14:paraId="1261047C" w14:textId="6ED238CE" w:rsidR="00BF6CE5" w:rsidRDefault="00BF6CE5" w:rsidP="00BF6CE5">
          <w:pPr>
            <w:pStyle w:val="Sidfot"/>
          </w:pPr>
          <w:r>
            <w:t xml:space="preserve">Förskoleförvaltningen, Grundskoleförvaltningen, </w:t>
          </w:r>
          <w:sdt>
            <w:sdtPr>
              <w:alias w:val="Dokumentnamn"/>
              <w:tag w:val="Dokumentnamn"/>
              <w:id w:val="-1023396864"/>
              <w:showingPlcHdr/>
              <w:dataBinding w:prefixMappings="xmlns:ns0='http://purl.org/dc/elements/1.1/' xmlns:ns1='http://schemas.openxmlformats.org/package/2006/metadata/core-properties' " w:xpath="/ns1:coreProperties[1]/ns0:title[1]" w:storeItemID="{6C3C8BC8-F283-45AE-878A-BAB7291924A1}"/>
              <w:text/>
            </w:sdtPr>
            <w:sdtContent>
              <w:r>
                <w:t xml:space="preserve">     </w:t>
              </w:r>
            </w:sdtContent>
          </w:sdt>
        </w:p>
      </w:tc>
      <w:tc>
        <w:tcPr>
          <w:tcW w:w="1134" w:type="dxa"/>
        </w:tcPr>
        <w:p w14:paraId="2EF5D33A" w14:textId="77777777" w:rsidR="00BF6CE5" w:rsidRPr="008117AD" w:rsidRDefault="00BF6CE5" w:rsidP="00BF6CE5">
          <w:pPr>
            <w:pStyle w:val="Sidfot"/>
            <w:jc w:val="right"/>
            <w:rPr>
              <w:b/>
            </w:rPr>
          </w:pPr>
          <w:r w:rsidRPr="008117AD">
            <w:fldChar w:fldCharType="begin"/>
          </w:r>
          <w:r w:rsidRPr="008117AD">
            <w:instrText xml:space="preserve"> PAGE   \* MERGEFORMAT </w:instrText>
          </w:r>
          <w:r w:rsidRPr="008117AD">
            <w:fldChar w:fldCharType="separate"/>
          </w:r>
          <w:r>
            <w:t>1</w:t>
          </w:r>
          <w:r w:rsidRPr="008117AD">
            <w:fldChar w:fldCharType="end"/>
          </w:r>
          <w:r w:rsidRPr="008117AD">
            <w:t xml:space="preserve"> (</w:t>
          </w:r>
          <w:fldSimple w:instr="NUMPAGES   \* MERGEFORMAT">
            <w:r>
              <w:t>1</w:t>
            </w:r>
          </w:fldSimple>
          <w:r w:rsidRPr="008117AD">
            <w:t>)</w:t>
          </w:r>
        </w:p>
      </w:tc>
    </w:tr>
  </w:tbl>
  <w:p w14:paraId="6C45D4F4" w14:textId="77777777" w:rsidR="00BF6CE5" w:rsidRDefault="00BF6CE5" w:rsidP="00BF6CE5">
    <w:pPr>
      <w:pStyle w:val="Sidfot"/>
    </w:pPr>
  </w:p>
  <w:p w14:paraId="3FA459F8" w14:textId="77777777" w:rsidR="006F01E0" w:rsidRPr="00BF6CE5" w:rsidRDefault="006F01E0" w:rsidP="00BF6CE5">
    <w:pPr>
      <w:pStyle w:val="Sidfot"/>
      <w:rPr>
        <w:rFonts w:eastAsia="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E9873" w14:textId="77777777" w:rsidR="00D85C39" w:rsidRDefault="00D85C39">
      <w:pPr>
        <w:spacing w:after="0" w:line="240" w:lineRule="auto"/>
      </w:pPr>
      <w:r>
        <w:separator/>
      </w:r>
    </w:p>
  </w:footnote>
  <w:footnote w:type="continuationSeparator" w:id="0">
    <w:p w14:paraId="3CF1464C" w14:textId="77777777" w:rsidR="00D85C39" w:rsidRDefault="00D85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47B7" w14:textId="77777777" w:rsidR="006F01E0" w:rsidRDefault="006F01E0">
    <w:pPr>
      <w:widowControl w:val="0"/>
      <w:pBdr>
        <w:top w:val="nil"/>
        <w:left w:val="nil"/>
        <w:bottom w:val="nil"/>
        <w:right w:val="nil"/>
        <w:between w:val="nil"/>
      </w:pBdr>
      <w:spacing w:after="0"/>
      <w:rPr>
        <w:color w:val="000000"/>
      </w:rPr>
    </w:pPr>
  </w:p>
  <w:tbl>
    <w:tblPr>
      <w:tblStyle w:val="a"/>
      <w:tblW w:w="7935" w:type="dxa"/>
      <w:tblInd w:w="0" w:type="dxa"/>
      <w:tblLayout w:type="fixed"/>
      <w:tblLook w:val="0600" w:firstRow="0" w:lastRow="0" w:firstColumn="0" w:lastColumn="0" w:noHBand="1" w:noVBand="1"/>
    </w:tblPr>
    <w:tblGrid>
      <w:gridCol w:w="2645"/>
      <w:gridCol w:w="2645"/>
      <w:gridCol w:w="2645"/>
    </w:tblGrid>
    <w:tr w:rsidR="006F01E0" w14:paraId="75338963" w14:textId="77777777">
      <w:trPr>
        <w:trHeight w:val="300"/>
      </w:trPr>
      <w:tc>
        <w:tcPr>
          <w:tcW w:w="2645" w:type="dxa"/>
        </w:tcPr>
        <w:p w14:paraId="7CB919EF" w14:textId="77777777" w:rsidR="006F01E0" w:rsidRDefault="006F01E0">
          <w:pPr>
            <w:pBdr>
              <w:top w:val="nil"/>
              <w:left w:val="nil"/>
              <w:bottom w:val="nil"/>
              <w:right w:val="nil"/>
              <w:between w:val="nil"/>
            </w:pBdr>
            <w:tabs>
              <w:tab w:val="center" w:pos="4513"/>
              <w:tab w:val="right" w:pos="9026"/>
            </w:tabs>
            <w:spacing w:after="0" w:line="240" w:lineRule="auto"/>
            <w:ind w:left="-115"/>
            <w:rPr>
              <w:rFonts w:ascii="Arial" w:eastAsia="Arial" w:hAnsi="Arial" w:cs="Arial"/>
              <w:color w:val="000000"/>
            </w:rPr>
          </w:pPr>
        </w:p>
      </w:tc>
      <w:tc>
        <w:tcPr>
          <w:tcW w:w="2645" w:type="dxa"/>
        </w:tcPr>
        <w:p w14:paraId="6424D996" w14:textId="77777777" w:rsidR="006F01E0" w:rsidRDefault="006F01E0">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rPr>
          </w:pPr>
        </w:p>
      </w:tc>
      <w:tc>
        <w:tcPr>
          <w:tcW w:w="2645" w:type="dxa"/>
        </w:tcPr>
        <w:p w14:paraId="74BC41C1" w14:textId="77777777" w:rsidR="006F01E0" w:rsidRDefault="006F01E0">
          <w:pPr>
            <w:pBdr>
              <w:top w:val="nil"/>
              <w:left w:val="nil"/>
              <w:bottom w:val="nil"/>
              <w:right w:val="nil"/>
              <w:between w:val="nil"/>
            </w:pBdr>
            <w:tabs>
              <w:tab w:val="center" w:pos="4513"/>
              <w:tab w:val="right" w:pos="9026"/>
            </w:tabs>
            <w:spacing w:after="0" w:line="240" w:lineRule="auto"/>
            <w:ind w:right="-115"/>
            <w:jc w:val="right"/>
            <w:rPr>
              <w:rFonts w:ascii="Arial" w:eastAsia="Arial" w:hAnsi="Arial" w:cs="Arial"/>
              <w:color w:val="000000"/>
            </w:rPr>
          </w:pPr>
        </w:p>
      </w:tc>
    </w:tr>
  </w:tbl>
  <w:p w14:paraId="552A99F8" w14:textId="77777777" w:rsidR="006F01E0" w:rsidRDefault="006F01E0">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44C2" w14:textId="77777777" w:rsidR="006F01E0" w:rsidRDefault="006F01E0">
    <w:pPr>
      <w:widowControl w:val="0"/>
      <w:pBdr>
        <w:top w:val="nil"/>
        <w:left w:val="nil"/>
        <w:bottom w:val="nil"/>
        <w:right w:val="nil"/>
        <w:between w:val="nil"/>
      </w:pBdr>
      <w:spacing w:after="0"/>
      <w:rPr>
        <w:rFonts w:ascii="Arial" w:eastAsia="Arial" w:hAnsi="Arial" w:cs="Arial"/>
        <w:color w:val="000000"/>
      </w:rPr>
    </w:pPr>
  </w:p>
  <w:tbl>
    <w:tblPr>
      <w:tblStyle w:val="a0"/>
      <w:tblpPr w:leftFromText="142" w:rightFromText="142" w:vertAnchor="page" w:horzAnchor="page" w:tblpX="1419" w:tblpY="738"/>
      <w:tblW w:w="9072" w:type="dxa"/>
      <w:tblInd w:w="0" w:type="dxa"/>
      <w:tblBorders>
        <w:top w:val="nil"/>
        <w:left w:val="nil"/>
        <w:bottom w:val="single" w:sz="4" w:space="0" w:color="4D4D4D"/>
        <w:right w:val="nil"/>
        <w:insideH w:val="nil"/>
        <w:insideV w:val="nil"/>
      </w:tblBorders>
      <w:tblLayout w:type="fixed"/>
      <w:tblLook w:val="0420" w:firstRow="1" w:lastRow="0" w:firstColumn="0" w:lastColumn="0" w:noHBand="0" w:noVBand="1"/>
    </w:tblPr>
    <w:tblGrid>
      <w:gridCol w:w="5103"/>
      <w:gridCol w:w="3969"/>
    </w:tblGrid>
    <w:tr w:rsidR="006F01E0" w14:paraId="077A6ADD" w14:textId="77777777" w:rsidTr="006F01E0">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0363A26B" w14:textId="77777777" w:rsidR="006F01E0" w:rsidRDefault="00BF6CE5">
          <w:pPr>
            <w:pBdr>
              <w:top w:val="nil"/>
              <w:left w:val="nil"/>
              <w:bottom w:val="nil"/>
              <w:right w:val="nil"/>
              <w:between w:val="nil"/>
            </w:pBdr>
            <w:tabs>
              <w:tab w:val="center" w:pos="4513"/>
              <w:tab w:val="right" w:pos="9026"/>
            </w:tabs>
            <w:spacing w:after="100" w:line="240" w:lineRule="auto"/>
            <w:rPr>
              <w:rFonts w:ascii="Arial" w:eastAsia="Arial" w:hAnsi="Arial" w:cs="Arial"/>
              <w:color w:val="000000"/>
            </w:rPr>
          </w:pPr>
          <w:r>
            <w:rPr>
              <w:rFonts w:ascii="Arial" w:eastAsia="Arial" w:hAnsi="Arial" w:cs="Arial"/>
              <w:b w:val="0"/>
              <w:bCs w:val="0"/>
              <w:color w:val="000000"/>
            </w:rPr>
            <w:t xml:space="preserve">Förskoleförvaltningen </w:t>
          </w:r>
          <w:r>
            <w:rPr>
              <w:rFonts w:ascii="Arial" w:eastAsia="Arial" w:hAnsi="Arial" w:cs="Arial"/>
              <w:b w:val="0"/>
              <w:bCs w:val="0"/>
              <w:color w:val="000000"/>
            </w:rPr>
            <w:br/>
            <w:t>Grundskoleförvaltningen</w:t>
          </w:r>
          <w:r>
            <w:rPr>
              <w:rFonts w:ascii="Arial" w:eastAsia="Arial" w:hAnsi="Arial" w:cs="Arial"/>
              <w:b w:val="0"/>
              <w:bCs w:val="0"/>
              <w:color w:val="000000"/>
            </w:rPr>
            <w:br/>
            <w:t>Göteborgs universitet</w:t>
          </w:r>
        </w:p>
      </w:tc>
      <w:tc>
        <w:tcPr>
          <w:tcW w:w="3969" w:type="dxa"/>
          <w:tcBorders>
            <w:bottom w:val="nil"/>
          </w:tcBorders>
          <w:shd w:val="clear" w:color="auto" w:fill="auto"/>
        </w:tcPr>
        <w:p w14:paraId="205A917B" w14:textId="77777777" w:rsidR="006F01E0" w:rsidRDefault="00BF6CE5">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noProof/>
              <w:color w:val="000000"/>
            </w:rPr>
            <w:drawing>
              <wp:inline distT="0" distB="0" distL="0" distR="0" wp14:anchorId="2E16EBF4" wp14:editId="4066AA9C">
                <wp:extent cx="1441706" cy="481584"/>
                <wp:effectExtent l="0" t="0" r="0" b="0"/>
                <wp:docPr id="2063978255" name="image2.png" descr="logo&#10;&#10;Göteborgs Stads logotyp"/>
                <wp:cNvGraphicFramePr/>
                <a:graphic xmlns:a="http://schemas.openxmlformats.org/drawingml/2006/main">
                  <a:graphicData uri="http://schemas.openxmlformats.org/drawingml/2006/picture">
                    <pic:pic xmlns:pic="http://schemas.openxmlformats.org/drawingml/2006/picture">
                      <pic:nvPicPr>
                        <pic:cNvPr id="0" name="image2.png" descr="logo&#10;&#10;Göteborgs Stads logotyp"/>
                        <pic:cNvPicPr preferRelativeResize="0"/>
                      </pic:nvPicPr>
                      <pic:blipFill>
                        <a:blip r:embed="rId1"/>
                        <a:srcRect/>
                        <a:stretch>
                          <a:fillRect/>
                        </a:stretch>
                      </pic:blipFill>
                      <pic:spPr>
                        <a:xfrm>
                          <a:off x="0" y="0"/>
                          <a:ext cx="1441706" cy="481584"/>
                        </a:xfrm>
                        <a:prstGeom prst="rect">
                          <a:avLst/>
                        </a:prstGeom>
                        <a:ln/>
                      </pic:spPr>
                    </pic:pic>
                  </a:graphicData>
                </a:graphic>
              </wp:inline>
            </w:drawing>
          </w:r>
          <w:r>
            <w:rPr>
              <w:rFonts w:ascii="Arial" w:eastAsia="Arial" w:hAnsi="Arial" w:cs="Arial"/>
              <w:b w:val="0"/>
              <w:bCs w:val="0"/>
              <w:color w:val="000000"/>
            </w:rPr>
            <w:t xml:space="preserve">      </w:t>
          </w:r>
          <w:r>
            <w:rPr>
              <w:rFonts w:ascii="Arial" w:eastAsia="Arial" w:hAnsi="Arial" w:cs="Arial"/>
              <w:noProof/>
              <w:color w:val="000000"/>
            </w:rPr>
            <w:drawing>
              <wp:inline distT="0" distB="0" distL="0" distR="0" wp14:anchorId="3DABFAA3" wp14:editId="09BB2280">
                <wp:extent cx="628650" cy="628650"/>
                <wp:effectExtent l="0" t="0" r="0" b="0"/>
                <wp:docPr id="20639782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28650" cy="628650"/>
                        </a:xfrm>
                        <a:prstGeom prst="rect">
                          <a:avLst/>
                        </a:prstGeom>
                        <a:ln/>
                      </pic:spPr>
                    </pic:pic>
                  </a:graphicData>
                </a:graphic>
              </wp:inline>
            </w:drawing>
          </w:r>
        </w:p>
        <w:p w14:paraId="4D8BCE69" w14:textId="77777777" w:rsidR="006F01E0" w:rsidRDefault="00BF6CE5">
          <w:pPr>
            <w:pBdr>
              <w:top w:val="nil"/>
              <w:left w:val="nil"/>
              <w:bottom w:val="nil"/>
              <w:right w:val="nil"/>
              <w:between w:val="nil"/>
            </w:pBdr>
            <w:tabs>
              <w:tab w:val="center" w:pos="4513"/>
              <w:tab w:val="right" w:pos="9026"/>
            </w:tabs>
            <w:spacing w:after="100" w:line="240" w:lineRule="auto"/>
            <w:jc w:val="right"/>
            <w:rPr>
              <w:rFonts w:ascii="Arial" w:eastAsia="Arial" w:hAnsi="Arial" w:cs="Arial"/>
              <w:color w:val="000000"/>
            </w:rPr>
          </w:pPr>
          <w:r>
            <w:rPr>
              <w:rFonts w:ascii="Arial" w:eastAsia="Arial" w:hAnsi="Arial" w:cs="Arial"/>
              <w:b w:val="0"/>
              <w:bCs w:val="0"/>
              <w:color w:val="000000"/>
            </w:rPr>
            <w:t xml:space="preserve">                       </w:t>
          </w:r>
        </w:p>
      </w:tc>
    </w:tr>
  </w:tbl>
  <w:p w14:paraId="7E625628" w14:textId="77777777" w:rsidR="006F01E0" w:rsidRDefault="006F01E0">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1E0"/>
    <w:rsid w:val="0011625A"/>
    <w:rsid w:val="00527EC9"/>
    <w:rsid w:val="006F01E0"/>
    <w:rsid w:val="00B35E58"/>
    <w:rsid w:val="00BF6CE5"/>
    <w:rsid w:val="00CB0B86"/>
    <w:rsid w:val="00D85C3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4AD17"/>
  <w15:docId w15:val="{798A55A8-5BDE-4889-BEEB-6A62A1DB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v" w:eastAsia="sv-SE"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500" w:line="240" w:lineRule="auto"/>
      <w:outlineLvl w:val="0"/>
    </w:pPr>
    <w:rPr>
      <w:rFonts w:ascii="Arial" w:eastAsia="Arial" w:hAnsi="Arial" w:cs="Arial"/>
      <w:b/>
      <w:bCs/>
      <w:color w:val="0D0D0D"/>
      <w:sz w:val="50"/>
      <w:szCs w:val="50"/>
    </w:rPr>
  </w:style>
  <w:style w:type="paragraph" w:styleId="Rubrik2">
    <w:name w:val="heading 2"/>
    <w:basedOn w:val="Normal"/>
    <w:next w:val="Normal"/>
    <w:uiPriority w:val="9"/>
    <w:semiHidden/>
    <w:unhideWhenUsed/>
    <w:qFormat/>
    <w:pPr>
      <w:keepNext/>
      <w:keepLines/>
      <w:spacing w:before="480" w:after="120" w:line="240" w:lineRule="auto"/>
      <w:outlineLvl w:val="1"/>
    </w:pPr>
    <w:rPr>
      <w:rFonts w:ascii="Arial" w:eastAsia="Arial" w:hAnsi="Arial" w:cs="Arial"/>
      <w:b/>
      <w:bCs/>
      <w:color w:val="0D0D0D"/>
      <w:sz w:val="34"/>
      <w:szCs w:val="34"/>
    </w:rPr>
  </w:style>
  <w:style w:type="paragraph" w:styleId="Rubrik3">
    <w:name w:val="heading 3"/>
    <w:basedOn w:val="Normal"/>
    <w:next w:val="Normal"/>
    <w:uiPriority w:val="9"/>
    <w:semiHidden/>
    <w:unhideWhenUsed/>
    <w:qFormat/>
    <w:pPr>
      <w:keepNext/>
      <w:keepLines/>
      <w:spacing w:before="400" w:after="120"/>
      <w:outlineLvl w:val="2"/>
    </w:pPr>
    <w:rPr>
      <w:rFonts w:ascii="Arial" w:eastAsia="Arial" w:hAnsi="Arial" w:cs="Arial"/>
      <w:b/>
      <w:bCs/>
      <w:color w:val="0D0D0D"/>
      <w:sz w:val="26"/>
      <w:szCs w:val="26"/>
    </w:rPr>
  </w:style>
  <w:style w:type="paragraph" w:styleId="Rubrik4">
    <w:name w:val="heading 4"/>
    <w:basedOn w:val="Normal"/>
    <w:next w:val="Normal"/>
    <w:uiPriority w:val="9"/>
    <w:semiHidden/>
    <w:unhideWhenUsed/>
    <w:qFormat/>
    <w:pPr>
      <w:keepNext/>
      <w:keepLines/>
      <w:spacing w:before="360" w:after="120"/>
      <w:outlineLvl w:val="3"/>
    </w:pPr>
    <w:rPr>
      <w:rFonts w:ascii="Arial" w:eastAsia="Arial" w:hAnsi="Arial" w:cs="Arial"/>
      <w:i/>
      <w:iCs/>
      <w:color w:val="0D0D0D"/>
    </w:rPr>
  </w:style>
  <w:style w:type="paragraph" w:styleId="Rubrik5">
    <w:name w:val="heading 5"/>
    <w:basedOn w:val="Normal"/>
    <w:next w:val="Normal"/>
    <w:uiPriority w:val="9"/>
    <w:semiHidden/>
    <w:unhideWhenUsed/>
    <w:qFormat/>
    <w:pPr>
      <w:keepNext/>
      <w:keepLines/>
      <w:spacing w:before="40" w:after="0"/>
      <w:outlineLvl w:val="4"/>
    </w:pPr>
    <w:rPr>
      <w:rFonts w:ascii="Arial" w:eastAsia="Arial" w:hAnsi="Arial" w:cs="Arial"/>
      <w:color w:val="404040"/>
    </w:rPr>
  </w:style>
  <w:style w:type="paragraph" w:styleId="Rubrik6">
    <w:name w:val="heading 6"/>
    <w:basedOn w:val="Normal"/>
    <w:next w:val="Normal"/>
    <w:uiPriority w:val="9"/>
    <w:semiHidden/>
    <w:unhideWhenUsed/>
    <w:qFormat/>
    <w:pPr>
      <w:keepNext/>
      <w:keepLines/>
      <w:spacing w:before="40" w:after="0"/>
      <w:outlineLvl w:val="5"/>
    </w:pPr>
    <w:rPr>
      <w:rFonts w:ascii="Arial" w:eastAsia="Arial" w:hAnsi="Arial" w:cs="Arial"/>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Rubrik">
    <w:name w:val="Title"/>
    <w:basedOn w:val="Normal"/>
    <w:next w:val="Normal"/>
    <w:uiPriority w:val="10"/>
    <w:qFormat/>
    <w:pPr>
      <w:spacing w:after="0" w:line="240" w:lineRule="auto"/>
    </w:pPr>
    <w:rPr>
      <w:rFonts w:ascii="Arial" w:eastAsia="Arial" w:hAnsi="Arial" w:cs="Arial"/>
      <w:sz w:val="56"/>
      <w:szCs w:val="56"/>
    </w:rPr>
  </w:style>
  <w:style w:type="character" w:customStyle="1" w:styleId="Rubrik1Char">
    <w:name w:val="Rubrik 1 Char"/>
    <w:basedOn w:val="Standardstycketeckensnitt"/>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character" w:customStyle="1" w:styleId="RubrikChar">
    <w:name w:val="Rubrik Char"/>
    <w:basedOn w:val="Standardstycketeckensnitt"/>
    <w:uiPriority w:val="10"/>
    <w:semiHidden/>
    <w:rsid w:val="00473C11"/>
    <w:rPr>
      <w:rFonts w:asciiTheme="majorHAnsi" w:eastAsiaTheme="majorEastAsia" w:hAnsiTheme="majorHAnsi" w:cstheme="majorBidi"/>
      <w:spacing w:val="-10"/>
      <w:sz w:val="56"/>
      <w:szCs w:val="56"/>
    </w:rPr>
  </w:style>
  <w:style w:type="character" w:customStyle="1" w:styleId="UnderrubrikChar">
    <w:name w:val="Underrubrik Char"/>
    <w:basedOn w:val="Standardstycketeckensnitt"/>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next w:val="Normal"/>
    <w:uiPriority w:val="39"/>
    <w:semiHidden/>
    <w:unhideWhenUsed/>
    <w:qFormat/>
    <w:rsid w:val="00350FEF"/>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Liststycke">
    <w:name w:val="List Paragraph"/>
    <w:basedOn w:val="Normal"/>
    <w:uiPriority w:val="34"/>
    <w:qFormat/>
    <w:rsid w:val="00782B64"/>
    <w:pPr>
      <w:ind w:left="720"/>
      <w:contextualSpacing/>
    </w:pPr>
  </w:style>
  <w:style w:type="character" w:customStyle="1" w:styleId="Formatmall2">
    <w:name w:val="Formatmall2"/>
    <w:basedOn w:val="Standardstycketeckensnitt"/>
    <w:uiPriority w:val="1"/>
    <w:rsid w:val="504E4108"/>
    <w:rPr>
      <w:rFonts w:asciiTheme="minorHAnsi" w:eastAsiaTheme="minorEastAsia" w:hAnsiTheme="minorHAnsi" w:cstheme="minorBidi"/>
      <w:sz w:val="20"/>
      <w:szCs w:val="20"/>
    </w:rPr>
  </w:style>
  <w:style w:type="paragraph" w:styleId="Underrubrik">
    <w:name w:val="Subtitle"/>
    <w:basedOn w:val="Normal"/>
    <w:next w:val="Normal"/>
    <w:uiPriority w:val="11"/>
    <w:qFormat/>
    <w:pPr>
      <w:ind w:left="1134"/>
    </w:pPr>
    <w:rPr>
      <w:color w:val="5A5A5A"/>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0" w:type="dxa"/>
        <w:bottom w:w="0" w:type="dxa"/>
        <w:right w:w="0" w:type="dxa"/>
      </w:tblCellMar>
    </w:tblPr>
    <w:tblStylePr w:type="firstRow">
      <w:rPr>
        <w:b/>
        <w:bCs/>
      </w:rPr>
      <w:tblPr/>
      <w:tcPr>
        <w:shd w:val="clear" w:color="auto" w:fill="D9D9D9"/>
      </w:tcPr>
    </w:tblStylePr>
  </w:style>
  <w:style w:type="table" w:customStyle="1" w:styleId="a1">
    <w:basedOn w:val="TableNormal"/>
    <w:tblPr>
      <w:tblStyleRowBandSize w:val="1"/>
      <w:tblStyleColBandSize w:val="1"/>
      <w:tblCellMar>
        <w:top w:w="57" w:type="dxa"/>
        <w:left w:w="0" w:type="dxa"/>
        <w:bottom w:w="0" w:type="dxa"/>
        <w:right w:w="0" w:type="dxa"/>
      </w:tblCellMar>
    </w:tblPr>
    <w:tblStylePr w:type="firstRow">
      <w:rPr>
        <w:b/>
        <w:bCs/>
      </w:rPr>
      <w:tblPr/>
      <w:tcPr>
        <w:shd w:val="clear" w:color="auto" w:fill="D9D9D9"/>
      </w:tcPr>
    </w:tblStylePr>
  </w:style>
  <w:style w:type="table" w:customStyle="1" w:styleId="a2">
    <w:basedOn w:val="TableNormal"/>
    <w:tblPr>
      <w:tblStyleRowBandSize w:val="1"/>
      <w:tblStyleColBandSize w:val="1"/>
    </w:tblPr>
  </w:style>
  <w:style w:type="table" w:customStyle="1" w:styleId="a3">
    <w:basedOn w:val="TableNormal"/>
    <w:pPr>
      <w:spacing w:after="0"/>
    </w:pPr>
    <w:rPr>
      <w:rFonts w:ascii="Arial" w:eastAsia="Arial" w:hAnsi="Arial" w:cs="Arial"/>
    </w:rPr>
    <w:tblPr>
      <w:tblStyleRowBandSize w:val="1"/>
      <w:tblStyleColBandSize w:val="1"/>
      <w:tblCellMar>
        <w:top w:w="57" w:type="dxa"/>
        <w:left w:w="0" w:type="dxa"/>
        <w:bottom w:w="0" w:type="dxa"/>
        <w:right w:w="0" w:type="dxa"/>
      </w:tblCellMar>
    </w:tblPr>
  </w:style>
  <w:style w:type="table" w:customStyle="1" w:styleId="a4">
    <w:basedOn w:val="TableNormal"/>
    <w:pPr>
      <w:spacing w:after="0"/>
    </w:pPr>
    <w:rPr>
      <w:rFonts w:ascii="Arial" w:eastAsia="Arial" w:hAnsi="Arial" w:cs="Arial"/>
    </w:rPr>
    <w:tblPr>
      <w:tblStyleRowBandSize w:val="1"/>
      <w:tblStyleColBandSize w:val="1"/>
      <w:tblCellMar>
        <w:top w:w="57"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rmationssakerhet@grundskola.goteborg.s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gneta.pihl@forskola.goteborg.se" TargetMode="External"/><Relationship Id="rId12" Type="http://schemas.openxmlformats.org/officeDocument/2006/relationships/hyperlink" Target="http://www.goteborg.se"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gneta.pihl@forskola.goteborg.s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my@imy.s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so@intraservice.goteborg.se" TargetMode="Externa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gk2Zg25o+K35zV0JwOk3JKCKlw==">CgMxLjA4AHIhMVhCaUthSUIyYXBscDZpeWptQzJQSm1CcWxGUm55blgz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1163</Words>
  <Characters>6164</Characters>
  <Application>Microsoft Office Word</Application>
  <DocSecurity>0</DocSecurity>
  <Lines>51</Lines>
  <Paragraphs>14</Paragraphs>
  <ScaleCrop>false</ScaleCrop>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annika.andreasson@grundskola.goteborg.se</dc:creator>
  <cp:lastModifiedBy>Anders Feldt</cp:lastModifiedBy>
  <cp:revision>2</cp:revision>
  <dcterms:created xsi:type="dcterms:W3CDTF">2026-03-06T13:19:00Z</dcterms:created>
  <dcterms:modified xsi:type="dcterms:W3CDTF">2026-03-06T13:19:00Z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0x01010078679A326293F04C9518F7D5D73C306F</vt:lpwstr>
  </property>
  <property fmtid="{D5CDD505-2E9C-101B-9397-08002B2CF9AE}" pid="3" name="MSIP_Label_1a92331f-fed4-45f0-9cc4-538626cdc27b_Enabled">
    <vt:lpwstr>true</vt:lpwstr>
  </property>
  <property fmtid="{D5CDD505-2E9C-101B-9397-08002B2CF9AE}" pid="4" name="MSIP_Label_1a92331f-fed4-45f0-9cc4-538626cdc27b_SetDate">
    <vt:lpwstr>2026-03-06T09:17:07Z</vt:lpwstr>
  </property>
  <property fmtid="{D5CDD505-2E9C-101B-9397-08002B2CF9AE}" pid="5" name="MSIP_Label_1a92331f-fed4-45f0-9cc4-538626cdc27b_Method">
    <vt:lpwstr>Privileged</vt:lpwstr>
  </property>
  <property fmtid="{D5CDD505-2E9C-101B-9397-08002B2CF9AE}" pid="6" name="MSIP_Label_1a92331f-fed4-45f0-9cc4-538626cdc27b_Name">
    <vt:lpwstr>Kund - Osynlig märkning</vt:lpwstr>
  </property>
  <property fmtid="{D5CDD505-2E9C-101B-9397-08002B2CF9AE}" pid="7" name="MSIP_Label_1a92331f-fed4-45f0-9cc4-538626cdc27b_SiteId">
    <vt:lpwstr>6394689e-ee8a-445b-a993-cdd87302cee6</vt:lpwstr>
  </property>
  <property fmtid="{D5CDD505-2E9C-101B-9397-08002B2CF9AE}" pid="8" name="MSIP_Label_1a92331f-fed4-45f0-9cc4-538626cdc27b_ActionId">
    <vt:lpwstr>afec3175-b600-490b-bc98-502ce946a335</vt:lpwstr>
  </property>
  <property fmtid="{D5CDD505-2E9C-101B-9397-08002B2CF9AE}" pid="9" name="MSIP_Label_1a92331f-fed4-45f0-9cc4-538626cdc27b_ContentBits">
    <vt:lpwstr>0</vt:lpwstr>
  </property>
  <property fmtid="{D5CDD505-2E9C-101B-9397-08002B2CF9AE}" pid="10" name="MSIP_Label_1a92331f-fed4-45f0-9cc4-538626cdc27b_Tag">
    <vt:lpwstr>10, 0, 1, 1</vt:lpwstr>
  </property>
</Properties>
</file>